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5F" w:rsidRPr="00AF1A5F" w:rsidRDefault="00AF1A5F" w:rsidP="00AF1A5F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Приказ Министерства здравоохранения РФ от 5 февраля 2021 г. № 55н “Об утверждении Порядка оказания медицинской помощи по профилю «детская онкология и гематология” (документ не вступил в силу)</w:t>
      </w:r>
    </w:p>
    <w:p w:rsidR="00AF1A5F" w:rsidRPr="00AF1A5F" w:rsidRDefault="00AF1A5F" w:rsidP="00AF1A5F">
      <w:pPr>
        <w:shd w:val="clear" w:color="auto" w:fill="FFFFFF"/>
        <w:spacing w:line="210" w:lineRule="atLeast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bookmarkStart w:id="0" w:name="text"/>
      <w:bookmarkEnd w:id="0"/>
      <w:r w:rsidRPr="00AF1A5F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26 марта 2021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В соответствии с пунктом 2 части 1 статьи 37 Федерального закона от 21 ноября 2011 г. № 323-ФЗ «Об основах охраны здоровья граждан в Российской Федерации» (Собрание законодательства Российской Федерации, 2011, № 48, ст. 6724;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2018, № 53, ст. 8415), подпунктом 5.2.17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 3526), приказываю:</w:t>
      </w:r>
      <w:proofErr w:type="gramEnd"/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Порядок оказания медицинской помощи по профилю «детская онкология и гематология» согласно </w:t>
      </w:r>
      <w:hyperlink r:id="rId5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приложению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Настоящий приказ вступает в силу с 1 сентября 2022 года.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9"/>
        <w:gridCol w:w="1549"/>
      </w:tblGrid>
      <w:tr w:rsidR="00AF1A5F" w:rsidRPr="00AF1A5F" w:rsidTr="00AF1A5F">
        <w:tc>
          <w:tcPr>
            <w:tcW w:w="2500" w:type="pct"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М.А. Мурашко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Зарегистрировано в Минюсте РФ 16 марта 2021 г.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 № 62765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6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 здравоохранения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Порядок оказания медицинской помощи по профилю «детская онкология и гематология»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Настоящий Порядок устанавливает правила организации оказания медицинской помощи по профилю «детская онкология и гематология» при заболеваниях (состояниях) по кодам МКБ-10: С00-С97, D00-D89</w:t>
      </w:r>
      <w:hyperlink r:id="rId7" w:anchor="1111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Медицинская помощь по профилю «детская онкология и гематология» оказывается медицинскими и иными организациями, имеющими соответствующую лицензию на осуществление медицинской деятельности (далее - медицинские организации), в виде: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первичной медико-санитарной помощи;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скорой, в том числе скорой специализированной, медицинской помощи;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специализированной, в том числе высокотехнологичной, медицинской помощи;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паллиативной медицинской помощи.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Медицинская помощь по профилю «детская онкология и гематология» оказывается в следующих условиях: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амбулаторно (в условиях, не предусматривающих круглосуточное медицинское наблюдение и лечение);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стационарно (в условиях, обеспечивающих круглосуточное медицинское наблюдение и лечение).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Медицинская помощь по профилю «детская онкология и гематология» оказывается в следующих формах: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экстренная (оказываемая при внезапных острых заболеваниях, состояниях, обострении хронических заболеваний, представляющих угрозу жизни пациента);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неотложная (оказываемая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помощи);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плановая (оказываемая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Медицинская помощь по профилю «детская онкология и гематология» оказывается с учетом стандартов медицинской помощи и на основе клинических рекомендаций</w:t>
      </w:r>
      <w:hyperlink r:id="rId8" w:anchor="1112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Медицинские организации, оказывающие медицинскую помощь по профилю «детская онкология и гематология» делятся на три группы: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первая группа - медицинские организации, оказывающие первичную медико-санитарную помощь, а также первичную специализированную медицинскую помощь по профилю «детская онкология и гематология», имеющие в своей структуре кабинет детской онкологии и гематологии.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Медицинская помощь в медицинских организациях первой группы включает профилактику, диагностику и амбулаторное лечение пациентов, не нуждающихся в круглосуточном медицинском наблюдении, и диспансерное наблюдение пациентов с установленным диагнозом;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вторая группа - медицинские организации, оказывающие специализированную (за исключением высокотехнологичной) медицинскую помощь по профилю «детская онкология и гематология», имеющие в своей структуре отделение детской онкологии и гематологии, дневной стационар, палаты реанимации и интенсивной терапии.</w:t>
      </w:r>
      <w:proofErr w:type="gramEnd"/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Медицинская помощь в медицинских организациях второй группы предусматривает проведение диагностики, включая лабораторные исследования, медико-генетическое обследование и молекулярно-генетические исследования, а также исследование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биопсийного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материала костного мозга, крови, спинномозговой жидкости, опухолевых и иных тканей с целью гистологической верификации диагноза, в том числе открытым способом, проведение хирургического и химиотерапевтического лечения, диспансерное наблюдение;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Третья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группа - медицинские организации, оказывающие специализированную, в том числе высокотехнологичную, медицинскую помощь по профилю «детская онкология и 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гематология», имеющие в своем составе отделения детской онкологии и гематологии, онкологическое отделение хирургических методов лечения, дневной стационар, отделение анестезиологии и реанимации, палаты реанимации и интенсивной терапии, отделение трансплантации костного мозга и гемопоэтических стволовых клеток (далее - отделение ТГСК), отделение лучевой диагностики, отделение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радионуклидной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диагностики и радиотерапии (при наличии оборудования), отделение трансфузиологии, клиническую лабораторию,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патолого-анатомическое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отделение, дистанционный консультативный центр с отделением телемедицины.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Медицинская помощь в медицинских организациях третьей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группы включает проведение диагностики онкологических и гематологических заболеваний и состояний, в том числе требующих использования высокотехнологичных методов лечения, включая проведение трансплантации костного мозга и гемопоэтических стволовых клеток,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таргетной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иммунотерапии, проведение повторной клинико-лабораторной и патолого-анатомической диагностики с целью верификации установленного диагноза, молекулярно-генетические исследования и диспансерное наблюдение пациентов с установленным диагнозом;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третья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группа - медицинские организации федерального подчинения, оказывающие специализированную, в том числе высокотехнологичную, медицинскую помощь по профилю «детская онкология и гематология», имеющие в своем составе отделения детской онкологии и гематологии, онкологическое отделение хирургических методов лечения, дневной стационар, отделение анестезиологии и реанимации, палаты реанимации и интенсивной терапии, отделение ТГСК, отделения лучевой терапии, отделение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радионуклидной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диагностики и терапии, радиотерапии (при наличии оборудования), отделение трансфузиологии, клиническую и молекулярно-генетическую лаборатории, патологоанатомическое отделение, дистанционный консультативный центр с отделением телемедицины и иные структурные подразделения.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Медицинская помощь в медицинских организациях третьей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Б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группы предусматривает оказание специализированной, в том числе высокотехнологичной, медицинской помощи по профилю «детская онкология и гематология», включая применение новых сложных и (или) уникальных методов лечения, а также ресурсоемких методов лечения с научно доказанной эффективностью, в том числе трансплантации гемопоэтических стволовых клеток и клеточной терапии, методов генной инженерии и иммунотерапии, роботизированной техники, информационных технологий, комбинированной химиолучевой терапии, медицинской реабилитации,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радионуклидной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диагностики и терапии, радиотерапии, разработанных на основе достижений медицинской науки и смежных отраслей науки и техники.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Лучевая и радиоизотопная диагностика, лучевая и радиотерапия пациентам осуществляется в отделениях лучевой и радиоизотопной диагностики и радиотерапии медицинских организаций, оказывающих медицинскую помощь по профилю «детская онкология и гематология» и «онкология».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Первичная медико-санитарная помощь по профилю «детская онкология и гематология» оказывается в соответствии с положением об организации оказания первичной медико-санитарной помощи детям</w:t>
      </w:r>
      <w:hyperlink r:id="rId9" w:anchor="1113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медицинских организациях первой группы - врачом-педиатром, врачом-педиатром участковым, врачом общей практики (семейным врачом), а также врачами-специалистами по специальностям, предусмотренным номенклатурой специальностей специалистов, имеющих высшее медицинское и фармацевтическое образование</w:t>
      </w:r>
      <w:hyperlink r:id="rId10" w:anchor="1114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4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и включает:</w:t>
      </w:r>
      <w:proofErr w:type="gramEnd"/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выявление пациентов с признаками онкологических и гематологических заболеваний;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направление пациентов при подозрении на наличие онкологических и гематологических заболеваний - в кабинет детской онкологии и гематологии медицинской организации или по медицинским показаниям - в медицинскую организацию, оказывающую медицинскую помощь по профилю «детская онкология и гематология» в стационарных условиях.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Первичная специализированная медицинская помощь по профилю «детская онкология и гематология» оказывается врачами - детскими онкологами-гематологами в медицинских организациях, в структуре которых имеется кабинет детской онкологии и гематологии, и включает в себя профилактику, диагностику и лечение онкологических и гематологических заболеваний.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случае выявления у пациентов онкологических заболеваний врач кабинета детской онкологии и гематологии уведомляет организационно-методический отдел онкологического диспансера о постановке их на учет.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Скорая, в том числе скорая специализированная, медицинская помощь по профилю «детская онкология и гематология» оказывается в соответствии с порядком оказания скорой, в том числе скорой специализированной, медицинской помощи</w:t>
      </w:r>
      <w:hyperlink r:id="rId11" w:anchor="1115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5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В случаях подозрения и (или) выявления у пациента онкологического или гематологического заболевания при оказании ему скорой, в том числе скорой специализированной, медицинской помощи его переводят или направляют в медицинские организации, оказывающие специализированную, в том числе высокотехнологичную, медицинскую помощь по профилю «детская онкология и гематология».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12. Специализированная, в том числе высокотехнологичная, медицинская помощь по профилю «детская онкология и гематология» оказывается в соответствии с положением об организации специализированной, в том числе высокотехнологичной, медицинской помощи</w:t>
      </w:r>
      <w:hyperlink r:id="rId12" w:anchor="1116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6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врачами - детскими онкологами-гематологами, врачами - детскими онкологами, врачами-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радиотерапевтами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врачами-радиологами, врачами - детскими хирургами, в условиях медицинских организаций второй и третьей групп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Б и включает в себя профилактику, диагностику, лечение онкологических гематологических заболеваний, требующих использования специальных методов химиотерапии, иммунотерапии, радиотерапии и хирургических методов лечения, а также медицинскую реабилитацию.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Срок начала оказания специализированной медицинской помощи (за исключением высокотехнологичной медицинской помощи) пациентам при заболеваниях (состояниях) по кодам МКБ-10: С00-С97 не должен превышать 14 календарных дней с даты гистологической верификации злокачественного новообразования или 14 дней с даты установления предварительного диагноза онкологического заболевания в случае отсутствия показаний для проведения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патолого-анатомических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исследований в амбулаторных условиях.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Срок начала оказания специализированной медицинской помощи (за исключением высокотехнологичной медицинской помощи) пациентам при заболеваниях (состояниях) по кодам МКБ-10: D00-D89 не должен превышать 7 календарных дней с даты цитологической или гистологической верификации диагноза, в том числе и в амбулаторных условиях.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13. В медицинских организациях второй и третьей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Б групп, оказывающих медицинскую помощь по профилю «детская онкология и гематология» в стационарных условиях или условиях дневного стационара, тактика медицинского обследования, лечения и реабилитации, включая профилактику нарушений репродуктивного здоровья, устанавливается консилиумом врачей</w:t>
      </w:r>
      <w:hyperlink r:id="rId13" w:anchor="1117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7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14. По решению консилиума врачей осуществляются заготовка и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криоконсервация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клеток репродуктивной системы пациентов в возрасте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спермархе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менархе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, но не ранее 13 лет 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для последующего оказания им медицинской помощи с использованием вспомогательных репродуктивных технологий.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15. Паллиативная медицинская помощь по профилю «детская онкология и гематология» осуществляется в соответствии с положением об организации оказания паллиативной медицинской помощи</w:t>
      </w:r>
      <w:hyperlink r:id="rId14" w:anchor="1118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8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16. При наличии медицинских показаний пациентам независимо от этапа лечения проводятся реабилитационные мероприятия в соответствии с порядком организации медицинской реабилитации детей</w:t>
      </w:r>
      <w:hyperlink r:id="rId15" w:anchor="1119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9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17.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Медицинские организации вносят информацию об оказанной медицинской помощи пациентам с подозрением на онкологические заболевания, а также пациентам с установленным диагнозом онкологического заболевания в медицинские информационные системы медицинских организаций, государственную информационную систему в сфере здравоохранения субъекта Российской Федерации, в единую государственную информационную систему в сфере здравоохранения</w:t>
      </w:r>
      <w:hyperlink r:id="rId16" w:anchor="1120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10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  <w:proofErr w:type="gramEnd"/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18. Медицинские организации, оказывающие медицинскую помощь по профилю «детская онкология и гематология», осуществляют свою деятельность в соответствии с </w:t>
      </w:r>
      <w:hyperlink r:id="rId17" w:anchor="15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приложениями № 1 - 12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Порядку.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19. В случае если проведение медицинских манипуляций, связанных с оказанием медицинской помощи по профилю «детская онкология и гематология», может повлечь возникновение болевых ощущений у пациентов, такие манипуляции проводятся с обезболиванием.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Международная статистическая классификация болезней и проблем, связанных со здоровьем, 10 пересмотра.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Статья 37 Федерального закона от 21 ноября 2011 г. № 323-ФЗ «Об основах охраны здоровья граждан в Российской Федерации» (далее - Федеральный закон № 323-ФЗ) (Собрание законодательства Российской Федерации, 2011, № 48, ст. 6724; 2018, № 53, ст. 8415).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Статья 33 Федерального закона № 323-ФЗ (Собрание законодательства Российской Федерации, 2011, № 48, ст. 6724).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4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Пункт 5 части 2 статьи 14 Федерального закона № 323-ФЗ (Собрание законодательства Российской Федерации, 2011, № 48, ст. 6724; 2013, № 48, ст. 6165).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5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Статья 35 Федерального закона № 323-ФЗ (Собрание законодательства Российской Федерации, 2011, № 48, ст. 6724; 2013, № 48, ст. 6165; 2014, № 49, ст. 6927).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6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Статья 34 Федерального закона № 323-ФЗ (Собрание законодательства Российской Федерации, 2011, № 48, ст. 6724; 2013, № 48, ст. 6165; 2016, № 27, ст. 4219; 2017, № 31, ст. 4791; 2019, № 49, ст. 6958).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7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Части 3 и 4 статьи 48 Федерального закона № 323-ФЗ (Собрание законодательства Российской Федерации, 2011, № 48, ст. 6724).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8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Статья 36 Федерального закона № 323-ФЗ (Собрание законодательства Российской Федерации, 2011, № 48, ст. 6724; 2019, № 10, ст. 888).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9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Часть 5 статьи 40 Федерального закона № 323-ФЗ (Собрание законодательства Российской Федерации, 2011, № 48, ст. 6724; 2013, № 48, ст. 6165).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10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Постановление Правительства Российской Федерации от 5 мая 2018 г. № 555 «О единой государственной информационной системе в сфере здравоохранения» (Собрание законодательства Российской Федерации, 2018, № 20, ст. 2849; 2020, № 52, ст. 8856).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1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18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19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Правила</w:t>
      </w: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организации деятельности кабинета детской онкологии и гематологии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устанавливают порядок организации деятельности кабинета детской онкологии и гематологии, который является структурным подразделением медицинской организации, оказывающей первичную медико-санитарную помощь по профилю «детская онкология и гематология» в амбулаторных условиях (далее - медицинская организация).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Кабинет детской онкологии и гематологии (далее - Кабинет) создается для осуществления консультативной, диагностической и лечебной помощи детям с онкологическими и гематологическими заболеваниями (далее - пациенты).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врача Кабинета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hyperlink r:id="rId20" w:anchor="11111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 специальности «детская онкология-гематология».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Структура и штатная численность Кабинета устанавливаются руководителем медицинской организации, в составе которой организован Кабинет, исходя из объема лечебно-диагностической работы и численности пациентов с учетом рекомендуемых штатных нормативов, предусмотренных </w:t>
      </w:r>
      <w:hyperlink r:id="rId21" w:anchor="2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 № 2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по профилю «детская онкология и гематология», утвержденному настоящим приказом.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Кабинета осуществляется в соответствии со стандартом оснащения Кабинета, предусмотренным </w:t>
      </w:r>
      <w:hyperlink r:id="rId22" w:anchor="3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 № 3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по профилю «детская онкология и гематология», утвержденному настоящим приказом.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Кабинет осуществляет следующие функции: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консультативной, диагностической и лечебной помощи пациентам, направляемым врачами-педиатрами, участковыми врачами общей практики (семейными врачами), врачами-специалистами по специальностям, предусмотренным номенклатурой специальностей специалистов, имеющих высшее медицинское и фармацевтическое образование</w:t>
      </w:r>
      <w:hyperlink r:id="rId23" w:anchor="11112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2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назначение лекарственных препаратов, в том числе наркотических и психотропных лекарственных препаратов в соответствии с порядком назначения лекарственных препаратов</w:t>
      </w:r>
      <w:hyperlink r:id="rId24" w:anchor="11113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3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направление пациентов с впервые выявленным онкологическим и гематологическим заболеванием в медицинские организации второй и третьей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В групп, в составе которых имеется отделение детской онкологии и гематологии;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диспансерное наблюдение пациентов;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консультативная и методическая помощь врачам-специалистам медицинских организаций по вопросам проведения профилактических осмотров пациентов, в том числе с подозрением на онкологические и гематологические заболевания;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санитарно-просветительная работа;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и оказание пациентам симптоматической и паллиативной помощи;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оформление медицинских документов для направления пациентов на медицинскую реабилитацию и санаторно-курортное лечение;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оформление медицинских документов для направления пациентов на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оформление медицинских документов пациентов, достигших совершеннолетнего возраста, для их передачи во взрослую сеть;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участие в проведении анализа основных медико-статистических показателей заболеваемости, инвалидности и смертности пациентов.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В Кабинете рекомендуется предусматривать: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приема пациентов;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выполнения лечебных процедур, входящих в функции Кабинета.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он организован.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 3526).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2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Пункт 5 части 2 статьи 14 Федерального закона № 323-ФЗ (Собрание законодательства Российской Федерации, 2011, № 48, ст. 6724).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3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Пункт 16 части 2 статьи 14 Федерального закона № 323-ФЗ (Собрание законодательства Российской Федерации, 2011, № 48, ст. 6724; 2017, № 31, ст. 4791).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2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25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26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Рекомендуемые штатные нормативы кабинета детской онкологии и гематологии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"/>
        <w:gridCol w:w="3511"/>
        <w:gridCol w:w="4722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онколог-гематолог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100 тыс. детского населения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 должность на 1 врача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3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27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28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lastRenderedPageBreak/>
        <w:t>Стандарт оснащения кабинета врача - детского онколога-гематолога медицинской организации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584"/>
        <w:gridCol w:w="2069"/>
        <w:gridCol w:w="2980"/>
        <w:gridCol w:w="1367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hyperlink r:id="rId29" w:anchor="3331" w:history="1">
              <w:r w:rsidRPr="00AF1A5F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Номенклатурной классификации медицинских изделий</w:t>
            </w:r>
            <w:hyperlink r:id="rId30" w:anchor="3331" w:history="1">
              <w:r w:rsidRPr="00AF1A5F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интернетом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сестринский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Процедурный кабинет -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манипуляционная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Манипуляционный столик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хирургических инструментов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медицинская универсальная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Ультразвуковой сканер экспертного класса для навигации при выполнении пункционных вмешательств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электромагнитного позиционирования хирургическая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Ламинарная камера для стерильного разведения лекарственных препаратов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ламинарный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сети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батареи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биоматериалов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сбора проб неспециализированный ИВД, без добавок, нестерильный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259780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сбора проб неспециализированный ИВД, без добавок, стерильный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Облучатель-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рециркулятор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воздуха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209360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для создания ламинарного потока передвижная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152690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передвижной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152700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Очиститель воздуха фильтрующий высокоэффективный, стационарный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электропитанием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электрического управления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радиографических снимков большой оптической плотности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общего назначения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Бестеневая лампа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Кушетка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с питанием от сети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осмотра/терапевтических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процедур, с гидравлическим 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осмотра/терапевтических процедур, механический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Табурет/стул общего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медицинские напольные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детские электронные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младенцев, электронные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детский для грудных детей и детей раннего возраста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Облучатель бактерицидный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световой стандартный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световой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-контрастный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стереоскопический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световой флуоресцентный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световой инвертированный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Прочее оборудование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93"/>
        <w:gridCol w:w="561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врача с персональным компьютером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шт.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Приказ Министерства здравоохранения Российской Федерации от 6 июня 2012 г. № 4н (зарегистрирован Министерством юстиции Российской Федерации 9 июля 2012 г., регистрационный № 24852), с изменениями, внесенными приказами Министерства здравоохранения Российской Федерации от 25 сентября 2014 г., (зарегистрирован Министерством юстиции Российской Федерации 17 декабря 2014 г, регистрационный № 35201) и от 7 июля 2020 г. № 686н (зарегистрирован Министерством юстиции Российской Федерации 10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августа 2020 г.,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№ 59225).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4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31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32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lastRenderedPageBreak/>
        <w:t>Правила организации деятельности отделения детской онкологии и гематологии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устанавливают порядок организации деятельности отделения детской онкологии и гематологии, которое является структурным подразделением медицинской организации, оказывающей медицинскую помощь по профилю «детская онкология и гематология» (далее соответственно - Отделение, медицинская организация).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возглавляет заведующий, назначаемый на должность и освобождаемый от должности руководителем медицинской организации, в структуре которой создано Отделение.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должность заведующего Отделением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hyperlink r:id="rId33" w:anchor="4441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квалификационные требования) по специальности «детская онкология-гематология», а также прошедший повышение квалификации по специальности «организация здравоохранения и общественное здоровье».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 должность врача Отделения назначается врач-специалист, соответствующий квалификационным требованиям.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Структура и штатная численность Отделения устанавливаются руководителем медицинской организации, в составе которой создано Отделение, исходя из объема проводимой лечебно-диагностической работы, коечной мощности и численности обслуживаемого населения с учетом рекомендуемых штатных нормативов медицинских работников Отделения, предусмотренных </w:t>
      </w:r>
      <w:hyperlink r:id="rId34" w:anchor="5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 № 5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по профилю «детская онкология и гематология», утвержденному настоящим приказом.</w:t>
      </w:r>
      <w:proofErr w:type="gramEnd"/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Оснащение Отделения осуществляется в соответствии со стандартом оснащения Отделения, предусмотренным </w:t>
      </w:r>
      <w:hyperlink r:id="rId35" w:anchor="6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 № 6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по профилю «детская онкология и гематология», утвержденному настоящим приказом.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В структуре Отделения рекомендуется предусмотреть: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палаты для детей, в том числе одноместные;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палату (блок) реанимации и интенсивной терапии;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кабинеты для врачей;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комнату для среднего медицинских работников;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 заведующего;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кабинет старшей медицинской сестры;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процедурную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для проведения диагностических манипуляций и процедур, в том числе под наркозом;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комнату для хранения аппаратуры и медицинского оборудования;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с ламинарным шкафом для разведения лекарств и хранения противоопухолевых лекарственных и других препаратов, их утилизации с использованием средств индивидуальной защиты;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помещение для хранения медикаментов, в том числе с контролем температуры, фармацевтическим холодильником на 4 - 14 градусов и низкотемпературным холодильником на -200 градусов;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комнату для хранения психотропных и наркотических средств;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перевязочную;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сестры-хозяйки;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раздаточную и столовую;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сбора грязного белья;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душевую и туалет для медицинского персонала;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душевые и туалеты для детей и родителей;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санитарную комнату;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игровую комнату;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учебный класс;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комнату для отдыха родителей.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осуществляет следующие функции: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диагностика онкологических и гематологических заболеваний и оказание медицинской помощи в условиях дневного и/или круглосуточного стационара с использованием лабораторных, инструментальных и иных методов диагностики и лечения, включая комбинированную с хирургическими и радиологическими методами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полихимиотерапию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трансплантацию гемопоэтических стволовых клеток и клеточную терапию;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алгоритмов диагностики и лечения инфекционных осложнений на всех этапах лечения, учет и расследование случаев возникновения внутрибольничных инфекций и инфекций, связанных с оказанием медицинской помощи;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проведение мероприятий по снижению больничной летальности в результате онкологических и гематологических заболеваний;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проведение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нутритивной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коррекции пациентам при наличии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белково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-энергетической недостаточности, ожирении/избытка жировой массы любой степени и риска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нутритивной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недостаточности, связанного с лечением основного заболевания, с использованием коррекции рациона, режима питания,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энтеральных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парентеральных и смешанных специализированных продуктов лечебного питания;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осуществление профилактических мероприятий, направленных на предупреждение осложнений, лечение осложнений, возникших в процессе лечения;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профессиональной квалификации медицинских работников по вопросам диагностики и оказания медицинской помощи;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внедрение в практику новых эффективных методов профилактики, диагностики, лечения и реабилитации;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направление пациентов в медицинские организации для проведения медицинской реабилитации или паллиативной медицинской помощи;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учет и анализ своевременности направления в Отделение пациентов с впервые выявленными злокачественными новообразованиями;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санитарно-просветительская работа среди населения по вопросам профилактики онкологических и гематологических заболеваний;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методической и консультативной помощи врачам медицинской организации по вопросам профилактики, диагностики и лечения онкологических и гематологических заболеваний;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преемственности в лечении пациентов в амбулаторных и стационарных условиях.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В медицинской организации, в которой создано Отделение, рекомендуется обеспечить круглосуточном режиме: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общего и биохимического анализа крови, кислотно-щелочного баланса и газового состава крови, общего анализа мочи;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экстренной визуализации с использованием ультразвукового оборудования, рентгеновского оборудования, ядерно-магнитного резонанса и компьютерной томографии;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обеспечение сопроводительной терапии;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противошоковых мероприятий;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профилактика и лечение болевого синдрома;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использование облученных компонентов крови, кровезаменителей, препаратов внутривенных иммуноглобулинов;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применение антибактериальных, противовирусных и противогрибковых препаратов.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При необходимости в структуре медицинской организации рекомендуется предусмотреть организацию дневного стационара детской онкологии и гематологии, положение об организации деятельности, рекомендуемые штатные нормативы и стандарт оснащения которого предусмотрены </w:t>
      </w:r>
      <w:hyperlink r:id="rId36" w:anchor="7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приложениями № 7 - 9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по профилю «детская онкология и гематология», утвержденному настоящим приказом.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оно организовано.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 3526).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5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37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38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Рекомендуемые штатные нормативы отделения детской онкологии и гематологии (из расчета 30 коек)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27"/>
        <w:gridCol w:w="4628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онколог-гематолог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онколог-гематолог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по лечебной физкультуре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отделение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6 коек (для обеспечения круглосуточной работы)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10 коек (для обеспечения круглосуточной работы)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отделение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работник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Рекомендуемые штатные нормативы палаты реанимации и интенсивной терапии*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6"/>
        <w:gridCol w:w="2829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 анестезиолог-реаниматолог (является сотрудником отделения анестезиологии-реанимации медицинской организации, в которой организовано отделение детской онкологии и гематологии)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4,75 на 6 коек (для обеспечения круглосуточной работы)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сестра-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анестезист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(является сотрудником отделения анестезиологии-реанимации медицинской организации, в которой организовано отделение детской онкологии и гематологии)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6 коек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6 коек (для обеспечения круглосуточной работы)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6 коек (для обеспечения круглосуточной работы)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6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39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утвержденному </w:t>
      </w:r>
      <w:hyperlink r:id="rId40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Стандарт оснащения отделения детской онкологии и гематологии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597"/>
        <w:gridCol w:w="1925"/>
        <w:gridCol w:w="3131"/>
        <w:gridCol w:w="1355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hyperlink r:id="rId41" w:anchor="6661" w:history="1">
              <w:r w:rsidRPr="00AF1A5F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Номенклатурной классификации медицинских изделий</w:t>
            </w:r>
            <w:hyperlink r:id="rId42" w:anchor="6661" w:history="1">
              <w:r w:rsidRPr="00AF1A5F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 (из расчета на каждые 30 коек)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кровати для детей грудного возраста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для новорожденного-младенца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Кроватки с подогревом или матрасики для обогрева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для младенца с подогревом, регулируемая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для младенца с подогревом, нерегулируемая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обогрева всего тела на основе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электроодеяла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сестры с персональным компьютером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сестринский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бинокулярный в отделении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136360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световой стандартный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151480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световой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фазоконтрастный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157950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стереоскопический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262800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световой флуоресцентный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269620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световой инвертированный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Перистальтический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объемнометрический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сети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батареи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Низкотемпературный холодильник (наличие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одной из указанных позиций) (до -40°С)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321680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Холодильник/морозильник для хранения крови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145090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морозильная для плазмы крови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Низкотемпературный холодильник (до -80°С)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Камера морозильная лабораторная для сверхнизких температур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Терморегулятор для подогрева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151700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конвекционного подогрева крови/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кондуктивного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подогрева крови/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кондуктивного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подогрева крови/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инфузионных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растворов, с высокой скоростью потока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 на 2-14 градусов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 для хранения тромбоцитов 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перемешивателем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340350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Инкубатор для тромбоцитов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Вытяжной шкаф для разведения химиопрепаратов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181470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химический вытяжной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транспортировки биоматериалов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пересылки образцов, неизолированный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пересылки образцов, изолированный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293380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перевозки вакуумных пробирок для сбора крови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Кресло-каталка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пациентом/сопровождающим лицом, с приводом на задние колеса, нескладная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пациентом/сопровождающим лицом, с односторонним рычажным приводом, 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пациентом/сопровождающим лицом, с приводом на задние колеса, 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пациентом/сопровождающим лицом, с односторонним рычажным приводом, нескладная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перевозки пациентов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 больничная, с электропитанием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внутрибольничная,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неприводная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грузовая межкорпусная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транспортировочная для доставки медицинских изделий с центрального склада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перемещения пациентов с подъемным механизмом и съемными носилками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подъема и перемещения пациента передвижная, с питанием от батареи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подъема и перемещения пациента передвижная, с питанием от сети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подъема и перемещения пациента передвижная, с 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с функциями определения температуры тела, частоты дыхания,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пульсоксиметрией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электрокардиографией,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измерением артериального давления, газов крови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многофункциональный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рентгеновский аппарат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передвижная, аналоговая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рентгеновская общего назначения передвижная, цифровая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аппарат для ультразвуковых исследований с набором датчиков в отделении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электроотсос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с питанием от сети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пневматическая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вакуумная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низковакуумной аспирации универсальная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в отделении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портативный 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высокочастотный 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набор для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реанимации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271350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сердечн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реанимации, многоразового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реанимационная медицинская тележка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передвижная (тележка) для проведения сердечно-легочной реанимации, с оборудованием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передвижная (тележка) для проведения сердечно-легочной реанимации, без оборудования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электрокардиограф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профессиональный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одноканальный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автоматический дозатор лекарственных веществ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койку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Перфузор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216560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палец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электропитанием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электрического управления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радиографических снимков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большой оптической плотности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Бактерицидная лампа для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Бактерицидная лампа для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без подогрева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с подогревом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аэрозольный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Инструментальный стол для проведения процедур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детей до 1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младенцев, электронные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не автоматизированный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Дозаторы для жидкого мыла, средств дезинфекции и диспенсеры для бумажных полотенец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Дозатор для мыла/ дезинфицирующих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палат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термометр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медицинский (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Прочее оборудование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4"/>
        <w:gridCol w:w="2507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интернетом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 в смену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бытовой с морозильной камерой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шт.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Стандарт оснащения палаты (блока) реанимации и интенсивной терапии детского отделения онкологии и гематологии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"/>
        <w:gridCol w:w="2595"/>
        <w:gridCol w:w="1931"/>
        <w:gridCol w:w="3196"/>
        <w:gridCol w:w="1286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Номенклатурной классификации медицинских изделий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с определением температуры тела, частоты дыхания,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пульсоксиметрией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электрокардиографией,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измерением артериального давления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многофункциональный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3 койки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 для интенсивной/общей терапии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Вакуумный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электроотсос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с питанием от сети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 койку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пневматическая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вакуумная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низковакуумной аспирации универсальная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113890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портативный электрический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114040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портативный 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125540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вентиляции легких положительным давлением терапевтический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169180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стационарный высокочастотный с электроприводом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неонатальный/для взрослых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232880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искусственной вентиляции легких для интенсивной терапии неонатальный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311390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высокочастотный 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портативный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314540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искусственной вентиляции легких стационарный высокочастотный 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пневмоприводом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Переносной набор для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реанимации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271350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сердечн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реанимации, многоразового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Мобильная реанимационная медицинская тележка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передвижная (тележка) для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сердечно-легочной реанимации, с оборудованием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Установка передвижная (тележка) для проведения сердечно-легочной реанимации, без оборудования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электрокардиограф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профессиональный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одноканальный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300690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Глюкометр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индивидуального использования/использования у постели больного ИВД, питание от батареи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сети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койку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батареи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Перфузор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койку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электропитанием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электрического управления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радиографических снимков большой оптической плотности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койку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Бестеневая лампа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Тромбомиксер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Перемешиватель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тромбоцитов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1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младенцев, электронные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Ламинарный шкаф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ламинарный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 клеток крови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328060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Сепаратор компонентов крови, автоматический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Мешки для сбора и хранения компонентов крови (наличие одной из указанных позиций)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145490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хранения или культивирования крови/тканей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донорской крови, однокамерный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донорской крови, двухкамерный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144290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донорской крови, многокамерный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донорской крови, четырехкамерный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донорской крови,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пятикамерный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144320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для донорской крови,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трехкамерный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контейнеров для донорской крови, без добавок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Иглы для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трепанобиопсии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321790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Игла для биопсии кости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койка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Приказ Министерства здравоохранения Российской Федерации от 6 июня 2012 г. № 4н (зарегистрирован Министерством юстиции Российской Федерации 9 июля 2012 г., регистрационный № 24852), с изменениями, внесенными приказами Министерства здравоохранения Российской Федерации от 25 сентября 2014 г., (зарегистрирован Министерством юстиции Российской Федерации 17 декабря 2014 г., регистрационный № 35201) и от 7 июля 2020 г. № 686н (зарегистрирован Министерством юстиции Российской Федерации 10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августа 2020 г.,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№ 59225).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7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43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44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Правила организации деятельности дневного стационара детской онкологии и гематологии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устанавливают порядок организации деятельности дневного стационара детской онкологии и гематологии, который является структурным подразделением медицинской организации второй и третьей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Б групп (далее соответственно - Дневной стационар, медицинская организация).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Дневной стационар создается для оказания специализированной, в том числе высокотехнологичной, медицинской помощи детям с онкологическими и гематологическими заболеваниями в условиях, предусматривающих медицинское наблюдение и лечение в дневное время, но не требующих круглосуточного медицинского наблюдения и лечения.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Руководство Дневным стационаром осуществляет заведующий, который назначается на должность и освобождается от должности руководителем медицинской организации, в составе которого создан Дневной стационар.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На должность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заведующего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Дневного стационара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hyperlink r:id="rId45" w:anchor="7771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квалификационные требования) по специальности «детская онкология-гематология», а также прошедший повышение квалификации по специальности «организация здравоохранения и общественное здоровье»..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На должность врача Дневного стационара назначается врач-специалист, соответствующий квалификационным требованиям.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Штатная численность Дневного стационара устанавливается в зависимости от объемов проводимой лечебной работы с учетом рекомендуемых штатных нормативов, предусмотренных </w:t>
      </w:r>
      <w:hyperlink r:id="rId46" w:anchor="8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 № 8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детям по профилю «детская онкология и гематология», утвержденному настоящим приказом.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Отделение Дневного стационара оснащается оборудованием в соответствии со стандартом оснащения, предусмотренным </w:t>
      </w:r>
      <w:hyperlink r:id="rId47" w:anchor="9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 № 9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Порядку оказания медицинской помощи детям по профилю «детская онкология и гематология», утвержденному настоящим приказом.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Дневной стационар осуществляет следующие функции: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обследование детей с онкологическими и (или) гематологическими заболеваниями;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лечебно-диагностических мероприятий;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проведение лечения с использованием химиотерапии, лучевой терапии, сопроводительного лечения, заместительной </w:t>
      </w:r>
      <w:proofErr w:type="spell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гемотрасфузионной</w:t>
      </w:r>
      <w:proofErr w:type="spell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терапии, терапии факторами свертывания и внутривенными иммуноглобулинами, клеточной иммунотерапии;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социально-педагогической и психологической помощи;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направление детей на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медико-социальную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экспертизу;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повышение профессиональной квалификации медицинских работников Дневного стационара;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проведение санитарно-просветительной работы с детьми и их родителями;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 наличии выраженных признаков нарушения функции жизнедеятельности и других показаний, с учетом патологии ребенка, направление для оказания специализированной медицинской помощи по профилю «детская онкология и гематология» в стационарных условиях.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Длительность лечения ребенка в Дневном стационаре не превышает 12 часов в сутки. При наличии медицинских показаний ребенок госпитализируется для оказания медицинской помощи в стационарных условиях.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В структуре Дневного стационара рекомендуется предусматривать: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палаты для размещения детей;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медицинских работников;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процедурную;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диагностических и лечебных процедур, входящих в функцию Дневного стационара;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санитарную комнату;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помещение для приема детей;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туалет для детей их родителей;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туалет для медицинских работников;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комнату для отдыха родителей.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Для осуществления функций Дневного стационара используются диагностические, лечебные, реабилитационные и другие подразделения медицинской организации, в структуре которого он создан.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 3526).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8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48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49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Рекомендуемые штатные нормативы дневного стационара детской онкологии и гематологии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2"/>
        <w:gridCol w:w="3713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Заведующий - врач - детский онколог-гематолог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отделение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онколог-гематолог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или 18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или 18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аллерголог-иммунолог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6 коек или 18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0,25 на 6 коек или 18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психолог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 на 6 коек или 18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6 коек или 18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или 18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на 6 коек или 18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на 6 коек или 18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-мест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9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50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51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Стандарт оснащения дневного стационара детской онкологии и гематологии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6"/>
        <w:gridCol w:w="2663"/>
        <w:gridCol w:w="1951"/>
        <w:gridCol w:w="2764"/>
        <w:gridCol w:w="1331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 </w:t>
            </w:r>
            <w:hyperlink r:id="rId52" w:anchor="1000" w:history="1">
              <w:r w:rsidRPr="00AF1A5F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4"/>
                  <w:szCs w:val="24"/>
                  <w:u w:val="single"/>
                  <w:lang w:eastAsia="ru-RU"/>
                </w:rPr>
                <w:t>п</w:t>
              </w:r>
            </w:hyperlink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hyperlink r:id="rId53" w:anchor="9991" w:history="1">
              <w:r w:rsidRPr="00AF1A5F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Номенклатурной классификации медицинских изделий</w:t>
            </w:r>
            <w:hyperlink r:id="rId54" w:anchor="9991" w:history="1">
              <w:r w:rsidRPr="00AF1A5F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260310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Табурет/стул общего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Кресло-кушетка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для осмотра/терапевтических процедур общего назначения, с электропитанием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Функциональные кровати для детей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для новорожденного-младенца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с определением температуры тела, частоты дыхания,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пульсоксиметрией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электрокардиографией,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измерением артериального давления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многофункциональный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мониторинга физиологических показателей одного пациента для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интенсивной/общей терапии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сети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батареи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Ламинарная камера для стерильного разведения лекарственных препаратов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228180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 ламинарный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для хранения сильнодействующих и психотропных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документации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137020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хранения медицинских карт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Стеллаж общего назначения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электропитанием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электрического управления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радиографических снимков большой оптической плотности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Бактерицидная лампа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шт. на 3 койки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Бестеневая лампа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электронные для детей до 1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младенцев, электронные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Фонендоскоп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неавтоматизированный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292270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Стетоскоп электронный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инструментов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медицинский для инструментов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 больничная, с электропитанием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внутрибольничная,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неприводная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Наркозный аппарат (наличие одной из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275650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ингаляционной анестезии, с настенным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креплением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275680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станция для анестезии, общего назначения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передвижной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276080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ингаляционной анестезии, портативный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электроотсос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с питанием от сети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пневматическая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вакуумная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низковакуумной аспирации универсальная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 для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внутривенных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инфузий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Кресло-каталка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нескладная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сопровождающим лицом, 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сестры с персональным компьютером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сестринский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Прочее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Прочее оборудование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1"/>
        <w:gridCol w:w="561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Стол рабочий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шт.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шт.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Приказ Министерства здравоохранения Российской Федерации от 6 июня 2012 г. № 4н (зарегистрирован Министерством юстиции Российской Федерации 9 июля 2012 г., регистрационный № 24852), с изменениями, внесенными приказами Министерства здравоохранения Российской Федерации от 25 сентября 2014 г., (зарегистрирован Министерством юстиции Российской Федерации 17 декабря 2014 г., регистрационный № 35201) и от 7 июля 2020 г. № 686н (зарегистрирован Министерством юстиции Российской Федерации 10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августа 2020 г.,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№ 59225).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10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55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56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Правила организации деятельности онкологического отделения хирургических методов лечения медицинской организации, оказывающей медицинскую помощь детям по профилю «детская онкология и гематология»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устанавливают порядок организации онкологического отделения хирургических методов лечения медицинской организации, оказывающей медицинскую помощь детям по профилю «детская онкология и гематология» (далее - Отделение).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Отделение организуется в структуре медицинских организаций и является структурным подразделением медицинской организации третьей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и Б групп, оказывающей медицинскую помощь по профилю «детская онкология и гематология» (далее - медицинская организация).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Решение о создании, реорганизации и ликвидации Отделения принимает руководитель медицинской организации.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В структуре Отделения предусматривается операционный блок и при необходимости отделение опухолей головы и шеи, торакоабдоминальное отделение, отделение опухолей костей и мягких тканей и отделение рентгенохирургических методов лечения.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Руководство Отделением осуществляет заведующий, который назначается на должность и освобождается от занимаемой должности руководителем медицинской организации, в составе которого создано Отделение.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6.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На должность заведующего Отделения назначается врач-специалист,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</w:t>
      </w:r>
      <w:hyperlink r:id="rId57" w:anchor="11115" w:history="1">
        <w:r w:rsidRPr="00AF1A5F">
          <w:rPr>
            <w:rFonts w:ascii="Times New Roman" w:eastAsia="Times New Roman" w:hAnsi="Times New Roman" w:cs="Times New Roman"/>
            <w:color w:val="3272C0"/>
            <w:sz w:val="20"/>
            <w:szCs w:val="20"/>
            <w:u w:val="single"/>
            <w:vertAlign w:val="superscript"/>
            <w:lang w:eastAsia="ru-RU"/>
          </w:rPr>
          <w:t>1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(далее - квалификационные требования) по специальности «детская онкология-гематология» либо врач-специалист, соответствующий квалификационным требованиям по специальности «детская хирургия», прошедший обучение по программам дополнительного профессионального образования профессиональной переподготовки по специальности «детская онкология».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При этом указанный врач должен пройти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обучение по программе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повышения квалификации по специальности «организация здравоохранения и общественное здоровье».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На должность врача Отделения назначается врач-специалист, соответствующий квалификационным требованиям.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Штатная численность Отделения устанавливается в зависимости от объемов проводимой лечебно-диагностической работы с учетом рекомендуемых штатных нормативов, предусмотренных </w:t>
      </w:r>
      <w:hyperlink r:id="rId58" w:anchor="1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 № 11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Основными функциями Отделения являются: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оказание специализированной, в том числе высокотехнологичной, медицинской помощи;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стратегии и тактики хирургического лечения пациентов со злокачественными новообразованиями различной локализации;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проведение оперативных вмешательств;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разработка и внедрение в медицинскую практику новых и совершенствование существующих методов исследования, диагностики и лечения пациентов с онкологическими заболеваниями, требующими хирургического лечения;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взаимодействие со структурными подразделениями медицинской организации с целью обеспечения качественной, своевременной медицинской хирургической помощи пациентам.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Отделение оснащается оборудованием в соответствии со стандартом оснащения предусмотренным </w:t>
      </w:r>
      <w:hyperlink r:id="rId59" w:anchor="12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приложением № 12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к настоящему приказу.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Подпункт 5.2.2 Положения о Министерстве здравоохранения Российской Федерации, утвержденного постановлением Правительства Российской Федерации от 19 июня 2012 г. № 608 (Собрание законодательства Российской Федерации, 2012, № 26, ст. 3526).</w:t>
      </w:r>
    </w:p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11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60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61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Рекомендуемые штатные нормативы онкологического отделения хирургических методов лечения медицинской организации, оказывающей медицинскую помощь детям по профилю «детская онкология и гематология» (на 30 коек)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7"/>
        <w:gridCol w:w="4857"/>
        <w:gridCol w:w="3991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должностей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штатных единиц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отделением -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врач-детский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онколог, врач-детский хирург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 - детский онколог (врач - детский хирург)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Врач-нейрохирург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Врач-офтальмолог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трансфузиолог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процедурной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Медицинская сестра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 палатная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10 коек (для обеспечения круглосуточной работы)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 на 10 коек (для обеспечения круглосуточной работы)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(для работы в буфетной)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Операционный блок</w:t>
      </w:r>
    </w:p>
    <w:tbl>
      <w:tblPr>
        <w:tblW w:w="943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445"/>
        <w:gridCol w:w="3560"/>
      </w:tblGrid>
      <w:tr w:rsidR="00AF1A5F" w:rsidRPr="00AF1A5F" w:rsidTr="00AF1A5F">
        <w:tc>
          <w:tcPr>
            <w:tcW w:w="426" w:type="dxa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Заведующий операционным блоком, врач - детский онколог, врач - детский хирург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426" w:type="dxa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операционная медицинская сестра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426" w:type="dxa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Операционная сестра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 на врача - детского онколога и врача - детского хирурга</w:t>
            </w:r>
          </w:p>
        </w:tc>
      </w:tr>
      <w:tr w:rsidR="00AF1A5F" w:rsidRPr="00AF1A5F" w:rsidTr="00AF1A5F">
        <w:tc>
          <w:tcPr>
            <w:tcW w:w="426" w:type="dxa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Сестра-хозяйка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426" w:type="dxa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Приложение № 12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к </w:t>
      </w:r>
      <w:hyperlink r:id="rId62" w:anchor="100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Порядку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оказания медицинской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помощи по профилю «детская онкология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и гематология»,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утвержденному </w:t>
      </w:r>
      <w:hyperlink r:id="rId63" w:anchor="0" w:history="1">
        <w:r w:rsidRPr="00AF1A5F">
          <w:rPr>
            <w:rFonts w:ascii="Times New Roman" w:eastAsia="Times New Roman" w:hAnsi="Times New Roman" w:cs="Times New Roman"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Министерства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здравоохранения Российской Федерации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br/>
        <w:t>от 5 февраля 2021 г. № 55н</w:t>
      </w:r>
    </w:p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Стандарт оснащения онкологического отделения хирургических методов лечения медицинской организации, оказывающей медицинскую помощь детям по профилю «детская онкология и гематология»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705"/>
        <w:gridCol w:w="1976"/>
        <w:gridCol w:w="2976"/>
        <w:gridCol w:w="1349"/>
      </w:tblGrid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вида Номенклатурной классификации медицинских изделий</w:t>
            </w:r>
            <w:hyperlink r:id="rId64" w:anchor="12111" w:history="1">
              <w:r w:rsidRPr="00AF1A5F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Номенклатурной классификации медицинских изделий</w:t>
            </w:r>
            <w:hyperlink r:id="rId65" w:anchor="12111" w:history="1">
              <w:r w:rsidRPr="00AF1A5F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Требуемое количество, штук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Функциональная кровать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механическая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131200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 гидравлическим 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больничная стандартная с электроприводом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Кровать для детей грудного возраста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247980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для новорожденног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младенца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Кювез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274550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Инкубатор для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транспортировки новорожденных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требованию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с подогревом или матрасики для обогрева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для младенца с подогревом, регулируемая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10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188170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Кроватка для младенца с подогревом, нерегулируемая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290450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обогрева всего тела на основе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электроодеяла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матрас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секционный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на 10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167990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наполнителем из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пеноматериала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гелевым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наполнителем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168030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надувной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266680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надувной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регулируемым давлением,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266750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противопролежневая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надувным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наматрасником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регулируемым давлением</w:t>
            </w:r>
            <w:proofErr w:type="gram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351690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Матрас для кровати с наполнителем из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пеноматериала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стол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303440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 прикроватная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184150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Тумбочка прикроватная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Кресло-каталка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нескладная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207810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207990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приводом на задние колеса, 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пациентом/ сопровождающим лицом, с односторонним рычажным приводом, нескладная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208250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электродвигателем,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 электронным рулевым управлением, нескладная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208340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Кресло-коляска, с приводом,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управляемая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сопровождающим лицом, складная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перевозки больных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Каталка больничная, с электропитанием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10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Каталка внутрибольничная,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неприводная</w:t>
            </w:r>
            <w:proofErr w:type="spellEnd"/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грузовая межкорпусная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259810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транспортировочная для доставки медицинских изделий с центрального склада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перемещения больных с подъемным механизмом и съемными носилками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подъема и перемещения пациента передвижная, с питанием от батареи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209450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подъема и перемещения пациента передвижная, с питанием от сети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209530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подъема и перемещения пациента передвижная, с 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перевязочный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 терапевтических процедур, с питанием от сети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 терапевтических процедур, с гидравлическим 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187250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осмотра/ терапевтических процедур, механический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инструментальный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Столик манипуляционный с принадлежностями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для хирургических инструментов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для медицинских инструментов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Тележка медицинская универсальная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(сейф) для хранения лекарственных средств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Сейф-термостат для хранения наркотических препаратов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 пациента прикроватный с определением частоты дыхания, частоты сердечных сокращений,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неинвазивным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измерением артериального давления, температуры, проведением электрокардиографии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пульсоксиметрии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157130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системы мониторинга состояния пациента, многофункциональный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нескольких пациентов для интенсивной/общей терапии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190850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мониторинга физиологических показателей одного пациента для интенсивной/ общей терапии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рентгеновский аппарат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аналоговая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208940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рентгеновская диагностическая передвижная общего назначения, цифровая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передвижная, аналоговая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передвижная, цифровая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Передвижной аппарат для ультразвуковых исследований с набором датчиков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ультразвуковой визуализации универсальная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Вакуумный аспиратор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с питанием от сети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2 койки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260580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пневматическая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260650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аспирационная общего назначения, вакуумная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326770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низковакуумной аспирации универсальная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Переносной набор для реанимации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271350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сердечн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легочной реанимации, многоразового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Мобильная реанимационная медицинская тележка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271400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передвижная (тележка) для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сердечно-легочной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реанимации, с оборудованием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Установка передвижная (тележка) для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проведении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сердечно-легочной реанимации, без оборудования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Портативный электрокардиограф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269170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 многоканальный, профессиональный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210160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Электрокардиограф, профессиональный, одноканальный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(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перфузор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229860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шприцевой</w:t>
            </w:r>
            <w:proofErr w:type="gram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насос (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инфузомат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260420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сети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329460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Насос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инфузионный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назначения, с питанием от батареи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143910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для крови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215850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 фармацевтический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321680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Холодильник/морозильник для хранения крови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стационарный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Аппарат для измерения артериального давления электрический с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ручным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нагнетением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портативный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216350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216630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электронный для измерения артериального давления автоматический, портативный, с манжетой на плечо/запястье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238570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 электропитанием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без электрического управления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248490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Негатоскоп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радиографических снимков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большой оптической плотности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воздуха, в том числе переносной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ультрафиолетовая бактерицидная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ультразвуковой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5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без подогрева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ингаляционной терапии, с подогревом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202950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Ингалятор аэрозольный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Бестеневая лампа с автономным источником питания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1 года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для младенцев, электронные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электронные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 напольные, механические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258830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Весы-стул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электронные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157600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 медицинский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ушной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126390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Штатив медицинский (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инфузионная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стойка)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131950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внутривенных вливаний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дезинфекции инструментария и расходных материалов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269850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системы химической дезинфекции медицинских инструментов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Емкости для сбора бытовых и медицинских отходов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257280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сбора колюще-режущих медицинских отходов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требованию</w:t>
            </w: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336200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Пакет для сбора, хранения и транспортировки медицинских отходов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123680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отходов с биологическими загрязнениями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142710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Набор для сбора и утилизации инфицированных отходов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289720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Контейнер для цитотоксических отходов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AF1A5F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сестры с персональным компьютером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188320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 сестринский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Прочее оборудование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1777"/>
      </w:tblGrid>
      <w:tr w:rsidR="00AF1A5F" w:rsidRPr="00AF1A5F" w:rsidTr="00B67458"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Рабочее место врача с персональным компьютером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AF1A5F" w:rsidRPr="00AF1A5F" w:rsidTr="00B674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Прикроватная информационная доска (маркерная)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  <w:tr w:rsidR="00AF1A5F" w:rsidRPr="00AF1A5F" w:rsidTr="00B674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столы и кресла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врачей</w:t>
            </w:r>
          </w:p>
        </w:tc>
      </w:tr>
      <w:tr w:rsidR="00AF1A5F" w:rsidRPr="00AF1A5F" w:rsidTr="00B6745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Прикроватный столик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числу коек</w:t>
            </w:r>
          </w:p>
        </w:tc>
      </w:tr>
    </w:tbl>
    <w:p w:rsidR="00AF1A5F" w:rsidRPr="00AF1A5F" w:rsidRDefault="00AF1A5F" w:rsidP="00AF1A5F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</w:pP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t>Стандарт оснащения операционного блока</w:t>
      </w:r>
      <w:r w:rsidRPr="00AF1A5F">
        <w:rPr>
          <w:rFonts w:ascii="Times New Roman" w:eastAsia="Times New Roman" w:hAnsi="Times New Roman" w:cs="Times New Roman"/>
          <w:b/>
          <w:bCs/>
          <w:color w:val="22272F"/>
          <w:sz w:val="27"/>
          <w:szCs w:val="27"/>
          <w:lang w:eastAsia="ru-RU"/>
        </w:rPr>
        <w:br/>
        <w:t>(Количество и профиль операционных предусматриваются в соответствии с деятельностью медицинской организации, оказывающей медицинскую помощь детям с онкологическими заболеваниями)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2"/>
        <w:gridCol w:w="2358"/>
        <w:gridCol w:w="1724"/>
        <w:gridCol w:w="3309"/>
        <w:gridCol w:w="1622"/>
      </w:tblGrid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Код вида </w:t>
            </w:r>
            <w:proofErr w:type="spellStart"/>
            <w:proofErr w:type="gram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Номенкла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турной</w:t>
            </w:r>
            <w:proofErr w:type="spellEnd"/>
            <w:proofErr w:type="gramEnd"/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классификации медицинских изделий</w:t>
            </w:r>
            <w:hyperlink r:id="rId66" w:anchor="12111" w:history="1">
              <w:r w:rsidRPr="00AF1A5F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вида Номенклатурной классификации медицинских изделий</w:t>
            </w:r>
            <w:hyperlink r:id="rId67" w:anchor="12111" w:history="1">
              <w:r w:rsidRPr="00AF1A5F">
                <w:rPr>
                  <w:rFonts w:ascii="Times New Roman" w:eastAsia="Times New Roman" w:hAnsi="Times New Roman" w:cs="Times New Roman"/>
                  <w:b/>
                  <w:bCs/>
                  <w:color w:val="3272C0"/>
                  <w:sz w:val="20"/>
                  <w:szCs w:val="20"/>
                  <w:u w:val="single"/>
                  <w:vertAlign w:val="superscript"/>
                  <w:lang w:eastAsia="ru-RU"/>
                </w:rPr>
                <w:t>1</w:t>
              </w:r>
            </w:hyperlink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Примечание</w:t>
            </w:r>
          </w:p>
        </w:tc>
      </w:tr>
      <w:tr w:rsidR="00AF1A5F" w:rsidRPr="00AF1A5F" w:rsidTr="00B67458">
        <w:tc>
          <w:tcPr>
            <w:tcW w:w="0" w:type="auto"/>
            <w:gridSpan w:val="5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 для общей хирургии (</w:t>
            </w:r>
            <w:proofErr w:type="spellStart"/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торако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-абдоминальной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локализации)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электрогидравлический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Консоль потолочная хирурга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двухплечевая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с подводами коммуникаций универсальная, с потолочным креплением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потолочная анестезиолога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с подводами коммуникаций универсальная, с потолочным креплением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потолочный с видеокамерой и монитором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освещения операционной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Электрохирургическое оборудование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229000    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аргон-усиленной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электрохирургической системы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платформа</w:t>
            </w:r>
          </w:p>
        </w:tc>
      </w:tr>
      <w:tr w:rsidR="00AF1A5F" w:rsidRPr="00AF1A5F" w:rsidTr="00B67458">
        <w:trPr>
          <w:trHeight w:val="2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260140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электрохирургической системы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Налобный светильник (с увеличением)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 налобный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хирургическая бинокулярная,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gridSpan w:val="5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 для нейрохирургии и опухолей головы и шеи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операционный универсальный,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электрогидравлический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Консоль потолочная хирурга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двухплечевая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с подводами коммуникаций универсальная, с потолочным креплением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потолочная анестезиолога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с подводами коммуникаций универсальная, с потолочным креплением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потолочный с видеокамерой и монитором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освещения операционной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аудиовизуальная для операционной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информационная аудиовизуальная для операционной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аудиовизуальными данными/устройствами в операционной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Навигационная система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249670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навигационная нейрохирургическая ультразвуковая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хирургическая для оптимизации планирования/навигации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284010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хирургическая роботизированная навигационная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292050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электромагнитного позиционирования хирургическая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330330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хирургическая для оптимизации планирования/навигации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346550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отслеживания движения оптического хирургического навигационного устройства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346560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отслеживания движения электромагнитного/оптического хирургического навигационного устройства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хирургический общего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Электрохирургическое оборудование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аргон-усиленной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электрохирургической системы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платформа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электрохирургической системы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Налобный светильник (с увеличением)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107170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 налобный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Лупа хирургическая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бинокулярная, многоразового использования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шт.</w:t>
            </w:r>
          </w:p>
        </w:tc>
      </w:tr>
      <w:tr w:rsidR="00AF1A5F" w:rsidRPr="00AF1A5F" w:rsidTr="00B67458">
        <w:tc>
          <w:tcPr>
            <w:tcW w:w="0" w:type="auto"/>
            <w:gridSpan w:val="5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Операционный зал для травматологии и ортопедии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электрогидравлический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С-дуга цифровая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передвижная, цифровая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Электрохирургическое оборудование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аргон-усиленной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электрохирургической системы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платформа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электрохирургической системы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Налобный светильник (с увеличением)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 налобный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хирургическая бинокулярная,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для микрососудистой хирургии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260240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хирургический общего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эндоскопическая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эндоскопической визуализации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136860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для медицинской техники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 обработки видеоизображений для эндоскопа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271710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Видеодисплей для эндоскопии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271830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Видеокамера эндоскопа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143870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Артроскоп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жесткий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gridSpan w:val="5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Эндохирургическая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операционная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операционный универсальный,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электрогидравлический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Консоль потолочная хирурга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двухплечевая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с подводами коммуникаций универсальная, с потолочным креплением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аудиовизуальная для операционной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информационная аудиовизуальная для операционной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129680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управления аудиовизуальными данными/устройствами в операционной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потолочная анестезиолога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с подводами коммуникаций универсальная, с потолочным креплением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Электрохирургическое оборудование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аргон-усиленной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электрохирургической системы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платформа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электрохирургической системы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для обследований мобильный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для осмотра/терапевтических процедур передвижной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gridSpan w:val="5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 для офтальмологии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офтальмологический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комплекте с двумя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</w:t>
            </w:r>
            <w:proofErr w:type="spellEnd"/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креслами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электрогидравлический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Консоль потолочная хирурга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двухплечевая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с подводами коммуникаций универсальная, с потолочным креплением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потолочная анестезиолога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с подводами коммуникаций универсальная, с потолочным креплением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потолочный с видеокамерой и монитором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для освещения операционной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Офтальмологический микроскоп (наличие одной из указанных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260240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Микроскоп хирургический общего назначения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366740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Микроскоп хирургический </w:t>
            </w: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офтальмологический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  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Электрохирургическое оборудование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аргон-усиленной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электрохирургической системы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260140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электрохирургической системы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Налобный светильник (с увеличением)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Рефлектор налобный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шт.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181320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Лупа хирургическая бинокулярная, многоразового использования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gridSpan w:val="5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зал для малоинвазивных операций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Операционный стол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162290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с гидравлическим приводом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162400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электрогидравлический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162410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операционный универсальный, электромеханический, с питанием от сети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Консоль потолочная хирурга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двухплечевая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с подводами коммуникаций универсальная, с потолочным креплением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потолочная анестезиолога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259380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Консоль с подводами коммуникаций универсальная, с потолочным креплением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Электрохирургическое оборудование (наличие одной из указанных позиций)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229000    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Генератор </w:t>
            </w:r>
            <w:proofErr w:type="gram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аргон-усиленной</w:t>
            </w:r>
            <w:proofErr w:type="gram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электрохирургической системы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Энергетическая платформа</w:t>
            </w:r>
          </w:p>
        </w:tc>
      </w:tr>
      <w:tr w:rsidR="00AF1A5F" w:rsidRPr="00AF1A5F" w:rsidTr="00B67458">
        <w:trPr>
          <w:trHeight w:val="276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260140</w:t>
            </w: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F1A5F" w:rsidRPr="00AF1A5F" w:rsidTr="00B67458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Генератор электрохирургической системы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С-дуга цифровая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209270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spellStart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флюороскопическая</w:t>
            </w:r>
            <w:proofErr w:type="spellEnd"/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рентгеновская общего назначения передвижная, цифровая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  <w:tr w:rsidR="00AF1A5F" w:rsidRPr="00AF1A5F" w:rsidTr="00B67458"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потолочный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129360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Светильник операционный</w:t>
            </w:r>
          </w:p>
        </w:tc>
        <w:tc>
          <w:tcPr>
            <w:tcW w:w="0" w:type="auto"/>
            <w:shd w:val="clear" w:color="auto" w:fill="FFFFFF"/>
            <w:hideMark/>
          </w:tcPr>
          <w:p w:rsidR="00AF1A5F" w:rsidRPr="00AF1A5F" w:rsidRDefault="00AF1A5F" w:rsidP="00AF1A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1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</w:tr>
    </w:tbl>
    <w:bookmarkEnd w:id="1"/>
    <w:p w:rsidR="00AF1A5F" w:rsidRPr="00AF1A5F" w:rsidRDefault="00AF1A5F" w:rsidP="00AF1A5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------------------------------</w:t>
      </w:r>
    </w:p>
    <w:p w:rsidR="00AF1A5F" w:rsidRPr="00AF1A5F" w:rsidRDefault="00AF1A5F" w:rsidP="00AF1A5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AF1A5F">
        <w:rPr>
          <w:rFonts w:ascii="Times New Roman" w:eastAsia="Times New Roman" w:hAnsi="Times New Roman" w:cs="Times New Roman"/>
          <w:color w:val="464C55"/>
          <w:sz w:val="20"/>
          <w:szCs w:val="20"/>
          <w:vertAlign w:val="superscript"/>
          <w:lang w:eastAsia="ru-RU"/>
        </w:rPr>
        <w:t>1</w:t>
      </w:r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Приказ Министерства здравоохранения Российской Федерации от 6 июня 2012 г. № 4н (зарегистрирован Министерством юстиции Российской Федерации 9 июля 2012 г., регистрационный № 24852), с изменениями, внесенными приказами Министерства здравоохранения Российской Федерации от 25 сентября 2014 г., (зарегистрирован Министерством юстиции Российской Федерации 17 декабря 2014 г., регистрационный № 35201) и от 7 июля 2020 г. № 686н (зарегистрирован Министерством юстиции Российской Федерации 10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августа 2020 г., </w:t>
      </w:r>
      <w:proofErr w:type="gramStart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регистрационный</w:t>
      </w:r>
      <w:proofErr w:type="gramEnd"/>
      <w:r w:rsidRPr="00AF1A5F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№ 59225).</w:t>
      </w:r>
    </w:p>
    <w:p w:rsidR="00A170B5" w:rsidRDefault="00A170B5"/>
    <w:sectPr w:rsidR="00A170B5" w:rsidSect="00AF1A5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46"/>
    <w:rsid w:val="00311546"/>
    <w:rsid w:val="00A170B5"/>
    <w:rsid w:val="00AF1A5F"/>
    <w:rsid w:val="00B6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1A5F"/>
  </w:style>
  <w:style w:type="paragraph" w:customStyle="1" w:styleId="s1">
    <w:name w:val="s_1"/>
    <w:basedOn w:val="a"/>
    <w:rsid w:val="00A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A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1A5F"/>
    <w:rPr>
      <w:color w:val="800080"/>
      <w:u w:val="single"/>
    </w:rPr>
  </w:style>
  <w:style w:type="paragraph" w:customStyle="1" w:styleId="toleft">
    <w:name w:val="toleft"/>
    <w:basedOn w:val="a"/>
    <w:rsid w:val="00A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F1A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F1A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1A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F1A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F1A5F"/>
  </w:style>
  <w:style w:type="paragraph" w:customStyle="1" w:styleId="s1">
    <w:name w:val="s_1"/>
    <w:basedOn w:val="a"/>
    <w:rsid w:val="00A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F1A5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F1A5F"/>
    <w:rPr>
      <w:color w:val="800080"/>
      <w:u w:val="single"/>
    </w:rPr>
  </w:style>
  <w:style w:type="paragraph" w:customStyle="1" w:styleId="toleft">
    <w:name w:val="toleft"/>
    <w:basedOn w:val="a"/>
    <w:rsid w:val="00A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0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588912">
                  <w:marLeft w:val="0"/>
                  <w:marRight w:val="0"/>
                  <w:marTop w:val="0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38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ase.garant.ru/400457103/" TargetMode="External"/><Relationship Id="rId18" Type="http://schemas.openxmlformats.org/officeDocument/2006/relationships/hyperlink" Target="http://base.garant.ru/400457103/" TargetMode="External"/><Relationship Id="rId26" Type="http://schemas.openxmlformats.org/officeDocument/2006/relationships/hyperlink" Target="http://base.garant.ru/400457103/" TargetMode="External"/><Relationship Id="rId39" Type="http://schemas.openxmlformats.org/officeDocument/2006/relationships/hyperlink" Target="http://base.garant.ru/400457103/" TargetMode="External"/><Relationship Id="rId21" Type="http://schemas.openxmlformats.org/officeDocument/2006/relationships/hyperlink" Target="http://base.garant.ru/400457103/" TargetMode="External"/><Relationship Id="rId34" Type="http://schemas.openxmlformats.org/officeDocument/2006/relationships/hyperlink" Target="http://base.garant.ru/400457103/" TargetMode="External"/><Relationship Id="rId42" Type="http://schemas.openxmlformats.org/officeDocument/2006/relationships/hyperlink" Target="http://base.garant.ru/400457103/" TargetMode="External"/><Relationship Id="rId47" Type="http://schemas.openxmlformats.org/officeDocument/2006/relationships/hyperlink" Target="http://base.garant.ru/400457103/" TargetMode="External"/><Relationship Id="rId50" Type="http://schemas.openxmlformats.org/officeDocument/2006/relationships/hyperlink" Target="http://base.garant.ru/400457103/" TargetMode="External"/><Relationship Id="rId55" Type="http://schemas.openxmlformats.org/officeDocument/2006/relationships/hyperlink" Target="http://base.garant.ru/400457103/" TargetMode="External"/><Relationship Id="rId63" Type="http://schemas.openxmlformats.org/officeDocument/2006/relationships/hyperlink" Target="http://base.garant.ru/400457103/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base.garant.ru/400457103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ase.garant.ru/400457103/" TargetMode="External"/><Relationship Id="rId29" Type="http://schemas.openxmlformats.org/officeDocument/2006/relationships/hyperlink" Target="http://base.garant.ru/400457103/" TargetMode="External"/><Relationship Id="rId1" Type="http://schemas.openxmlformats.org/officeDocument/2006/relationships/styles" Target="styles.xml"/><Relationship Id="rId6" Type="http://schemas.openxmlformats.org/officeDocument/2006/relationships/hyperlink" Target="http://base.garant.ru/400457103/" TargetMode="External"/><Relationship Id="rId11" Type="http://schemas.openxmlformats.org/officeDocument/2006/relationships/hyperlink" Target="http://base.garant.ru/400457103/" TargetMode="External"/><Relationship Id="rId24" Type="http://schemas.openxmlformats.org/officeDocument/2006/relationships/hyperlink" Target="http://base.garant.ru/400457103/" TargetMode="External"/><Relationship Id="rId32" Type="http://schemas.openxmlformats.org/officeDocument/2006/relationships/hyperlink" Target="http://base.garant.ru/400457103/" TargetMode="External"/><Relationship Id="rId37" Type="http://schemas.openxmlformats.org/officeDocument/2006/relationships/hyperlink" Target="http://base.garant.ru/400457103/" TargetMode="External"/><Relationship Id="rId40" Type="http://schemas.openxmlformats.org/officeDocument/2006/relationships/hyperlink" Target="http://base.garant.ru/400457103/" TargetMode="External"/><Relationship Id="rId45" Type="http://schemas.openxmlformats.org/officeDocument/2006/relationships/hyperlink" Target="http://base.garant.ru/400457103/" TargetMode="External"/><Relationship Id="rId53" Type="http://schemas.openxmlformats.org/officeDocument/2006/relationships/hyperlink" Target="http://base.garant.ru/400457103/" TargetMode="External"/><Relationship Id="rId58" Type="http://schemas.openxmlformats.org/officeDocument/2006/relationships/hyperlink" Target="http://base.garant.ru/400457103/" TargetMode="External"/><Relationship Id="rId66" Type="http://schemas.openxmlformats.org/officeDocument/2006/relationships/hyperlink" Target="http://base.garant.ru/400457103/" TargetMode="External"/><Relationship Id="rId5" Type="http://schemas.openxmlformats.org/officeDocument/2006/relationships/hyperlink" Target="http://base.garant.ru/400457103/" TargetMode="External"/><Relationship Id="rId15" Type="http://schemas.openxmlformats.org/officeDocument/2006/relationships/hyperlink" Target="http://base.garant.ru/400457103/" TargetMode="External"/><Relationship Id="rId23" Type="http://schemas.openxmlformats.org/officeDocument/2006/relationships/hyperlink" Target="http://base.garant.ru/400457103/" TargetMode="External"/><Relationship Id="rId28" Type="http://schemas.openxmlformats.org/officeDocument/2006/relationships/hyperlink" Target="http://base.garant.ru/400457103/" TargetMode="External"/><Relationship Id="rId36" Type="http://schemas.openxmlformats.org/officeDocument/2006/relationships/hyperlink" Target="http://base.garant.ru/400457103/" TargetMode="External"/><Relationship Id="rId49" Type="http://schemas.openxmlformats.org/officeDocument/2006/relationships/hyperlink" Target="http://base.garant.ru/400457103/" TargetMode="External"/><Relationship Id="rId57" Type="http://schemas.openxmlformats.org/officeDocument/2006/relationships/hyperlink" Target="http://base.garant.ru/400457103/" TargetMode="External"/><Relationship Id="rId61" Type="http://schemas.openxmlformats.org/officeDocument/2006/relationships/hyperlink" Target="http://base.garant.ru/400457103/" TargetMode="External"/><Relationship Id="rId10" Type="http://schemas.openxmlformats.org/officeDocument/2006/relationships/hyperlink" Target="http://base.garant.ru/400457103/" TargetMode="External"/><Relationship Id="rId19" Type="http://schemas.openxmlformats.org/officeDocument/2006/relationships/hyperlink" Target="http://base.garant.ru/400457103/" TargetMode="External"/><Relationship Id="rId31" Type="http://schemas.openxmlformats.org/officeDocument/2006/relationships/hyperlink" Target="http://base.garant.ru/400457103/" TargetMode="External"/><Relationship Id="rId44" Type="http://schemas.openxmlformats.org/officeDocument/2006/relationships/hyperlink" Target="http://base.garant.ru/400457103/" TargetMode="External"/><Relationship Id="rId52" Type="http://schemas.openxmlformats.org/officeDocument/2006/relationships/hyperlink" Target="http://base.garant.ru/400457103/" TargetMode="External"/><Relationship Id="rId60" Type="http://schemas.openxmlformats.org/officeDocument/2006/relationships/hyperlink" Target="http://base.garant.ru/400457103/" TargetMode="External"/><Relationship Id="rId65" Type="http://schemas.openxmlformats.org/officeDocument/2006/relationships/hyperlink" Target="http://base.garant.ru/40045710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400457103/" TargetMode="External"/><Relationship Id="rId14" Type="http://schemas.openxmlformats.org/officeDocument/2006/relationships/hyperlink" Target="http://base.garant.ru/400457103/" TargetMode="External"/><Relationship Id="rId22" Type="http://schemas.openxmlformats.org/officeDocument/2006/relationships/hyperlink" Target="http://base.garant.ru/400457103/" TargetMode="External"/><Relationship Id="rId27" Type="http://schemas.openxmlformats.org/officeDocument/2006/relationships/hyperlink" Target="http://base.garant.ru/400457103/" TargetMode="External"/><Relationship Id="rId30" Type="http://schemas.openxmlformats.org/officeDocument/2006/relationships/hyperlink" Target="http://base.garant.ru/400457103/" TargetMode="External"/><Relationship Id="rId35" Type="http://schemas.openxmlformats.org/officeDocument/2006/relationships/hyperlink" Target="http://base.garant.ru/400457103/" TargetMode="External"/><Relationship Id="rId43" Type="http://schemas.openxmlformats.org/officeDocument/2006/relationships/hyperlink" Target="http://base.garant.ru/400457103/" TargetMode="External"/><Relationship Id="rId48" Type="http://schemas.openxmlformats.org/officeDocument/2006/relationships/hyperlink" Target="http://base.garant.ru/400457103/" TargetMode="External"/><Relationship Id="rId56" Type="http://schemas.openxmlformats.org/officeDocument/2006/relationships/hyperlink" Target="http://base.garant.ru/400457103/" TargetMode="External"/><Relationship Id="rId64" Type="http://schemas.openxmlformats.org/officeDocument/2006/relationships/hyperlink" Target="http://base.garant.ru/400457103/" TargetMode="External"/><Relationship Id="rId69" Type="http://schemas.openxmlformats.org/officeDocument/2006/relationships/theme" Target="theme/theme1.xml"/><Relationship Id="rId8" Type="http://schemas.openxmlformats.org/officeDocument/2006/relationships/hyperlink" Target="http://base.garant.ru/400457103/" TargetMode="External"/><Relationship Id="rId51" Type="http://schemas.openxmlformats.org/officeDocument/2006/relationships/hyperlink" Target="http://base.garant.ru/400457103/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base.garant.ru/400457103/" TargetMode="External"/><Relationship Id="rId17" Type="http://schemas.openxmlformats.org/officeDocument/2006/relationships/hyperlink" Target="http://base.garant.ru/400457103/" TargetMode="External"/><Relationship Id="rId25" Type="http://schemas.openxmlformats.org/officeDocument/2006/relationships/hyperlink" Target="http://base.garant.ru/400457103/" TargetMode="External"/><Relationship Id="rId33" Type="http://schemas.openxmlformats.org/officeDocument/2006/relationships/hyperlink" Target="http://base.garant.ru/400457103/" TargetMode="External"/><Relationship Id="rId38" Type="http://schemas.openxmlformats.org/officeDocument/2006/relationships/hyperlink" Target="http://base.garant.ru/400457103/" TargetMode="External"/><Relationship Id="rId46" Type="http://schemas.openxmlformats.org/officeDocument/2006/relationships/hyperlink" Target="http://base.garant.ru/400457103/" TargetMode="External"/><Relationship Id="rId59" Type="http://schemas.openxmlformats.org/officeDocument/2006/relationships/hyperlink" Target="http://base.garant.ru/400457103/" TargetMode="External"/><Relationship Id="rId67" Type="http://schemas.openxmlformats.org/officeDocument/2006/relationships/hyperlink" Target="http://base.garant.ru/400457103/" TargetMode="External"/><Relationship Id="rId20" Type="http://schemas.openxmlformats.org/officeDocument/2006/relationships/hyperlink" Target="http://base.garant.ru/400457103/" TargetMode="External"/><Relationship Id="rId41" Type="http://schemas.openxmlformats.org/officeDocument/2006/relationships/hyperlink" Target="http://base.garant.ru/400457103/" TargetMode="External"/><Relationship Id="rId54" Type="http://schemas.openxmlformats.org/officeDocument/2006/relationships/hyperlink" Target="http://base.garant.ru/400457103/" TargetMode="External"/><Relationship Id="rId62" Type="http://schemas.openxmlformats.org/officeDocument/2006/relationships/hyperlink" Target="http://base.garant.ru/40045710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12971</Words>
  <Characters>73935</Characters>
  <Application>Microsoft Office Word</Application>
  <DocSecurity>0</DocSecurity>
  <Lines>616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2021-03-26T13:19:00Z</dcterms:created>
  <dcterms:modified xsi:type="dcterms:W3CDTF">2021-03-26T13:21:00Z</dcterms:modified>
</cp:coreProperties>
</file>