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5C" w:rsidRPr="00A4665C" w:rsidRDefault="00A4665C" w:rsidP="00A4665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r w:rsidRPr="00A4665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Приказ Министерства здравоохранения РФ от 29 марта 2019 г. № 173н “Об утверждении порядка проведения диспансерного наблюдения за взрослыми”</w:t>
      </w:r>
    </w:p>
    <w:p w:rsidR="00A4665C" w:rsidRPr="00A4665C" w:rsidRDefault="00A4665C" w:rsidP="00A4665C">
      <w:pPr>
        <w:spacing w:after="18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29 апреля 2019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bookmarkStart w:id="0" w:name="0"/>
      <w:bookmarkEnd w:id="0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соответствии со статьей 46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2016, № 27, ст. 4219) приказываю: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Утвердить прилагаемый </w:t>
      </w:r>
      <w:hyperlink r:id="rId5" w:anchor="1000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порядок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проведения диспансерного наблюдения за взрослыми.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Признать утратившим силу приказ Министерства здравоохранения Российской Федерации от 21 декабря 2012 г. № 1344н «Об утверждении Порядка проведения диспансерного наблюдения» (зарегистрирован Министерством юстиции Российской Федерации 14 февраля 2013 г., регистрационный № 27072).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42"/>
        <w:gridCol w:w="1642"/>
      </w:tblGrid>
      <w:tr w:rsidR="00A4665C" w:rsidRPr="00A4665C" w:rsidTr="00A4665C">
        <w:tc>
          <w:tcPr>
            <w:tcW w:w="2500" w:type="pct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2500" w:type="pct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В.И. Скворцова</w:t>
            </w:r>
          </w:p>
        </w:tc>
      </w:tr>
    </w:tbl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Зарегистрировано в Минюсте РФ 25 апреля 2019 г.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Регистрационный № 54513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УТВЕРЖДЕН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hyperlink r:id="rId6" w:anchor="0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Министерства здравоохранения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2019 г. № 173н</w:t>
      </w:r>
    </w:p>
    <w:p w:rsidR="00A4665C" w:rsidRPr="00A4665C" w:rsidRDefault="00A4665C" w:rsidP="00A4665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6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Порядок</w:t>
      </w:r>
      <w:r w:rsidRPr="00A466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проведения диспансерного наблюдения за взрослыми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1. Настоящий Порядок устанавливает правила проведения медицинскими организациями диспансерного наблюдения за взрослыми (в возрасте 18 лет и старше).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за лицами с отдельными заболеваниями или состояниями (группами заболеваний или состояний).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2. Диспансерное наблюдение представляет собой проводимое с определенной периодичностью необходимое обследование лиц,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состояний, их профилактики и осуществления медицинской реабилитации указанных лиц.</w:t>
      </w:r>
      <w:hyperlink r:id="rId7" w:anchor="11" w:history="1">
        <w:r w:rsidRPr="00A4665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1</w:t>
        </w:r>
      </w:hyperlink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3. Диспансерному наблюдению подлежат лица, страдающие отдельными хроническими неинфекционными и инфекционными заболеваниями или имеющие высокий риск их развития, а также лица, находящиеся в восстановительном периоде после перенесенных острых заболеваний (состояний, в том числе травм и отравлений).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рамках диспансерного наблюдения организуется проведение профилактического медицинского осмотра.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4. Диспансерное наблюдение устанавливается в течение 3-х рабочих дней после: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установления диагноза при оказании медицинской помощи в амбулаторных условиях;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2) получения выписного эпикриза из медицинской карты стационарного больного по результатам оказания медицинской помощи в стационарных условиях.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5. Организацию диспансерного наблюдения в медицинской организации осуществляет руководитель медицинской организации либо уполномоченный им заместитель руководителя медицинской организации (далее - руководитель).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обеспечивает: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охват диспансерным наблюдением лиц с хроническими неинфекционными заболеваниями и инфекционными заболеваниями и лиц с высоким и очень высоким 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сердечно-сосудистым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риском не менее 70%;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охват диспансерным наблюдением лиц старше трудоспособного возраста, из числа подлежащих ему, не менее 90%;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установление диспансерного наблюдения медицинским работником, указанным в </w:t>
      </w:r>
      <w:hyperlink r:id="rId8" w:anchor="1005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5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в сроки, указанные в </w:t>
      </w:r>
      <w:hyperlink r:id="rId9" w:anchor="1004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4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достижение целевых значений показателей состояния здоровья в соответствии с клиническими рекомендациями;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сокращение числа обращений по поводу обострений хронических заболеваний среди лиц, находящихся под диспансерным наблюдением;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снижение числа вызовов скорой медицинской помощи среди лиц, находящихся под диспансерным наблюдением, в связи с обострением или осложнениями заболеваний, по поводу которых лица находятся под диспансерным наблюдением;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уменьшение числа случаев и количества дней временной нетрудоспособности лиц, находящихся под диспансерным наблюдением;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8) уменьшение числа госпитализаций, в том числе по экстренным медицинским показаниям, в связи с обострением или осложнениями заболеваний, по поводу которых лица находятся под диспансерным наблюдением;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9) снижение показателей смертности, в том числе внебольничной смертности, лиц, находящихся под диспансерным наблюдением.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Руководитель организует обобщение и проводит анализ результатов диспансерного наблюдения за лицами, находящимися на медицинском обслуживании в медицинской организации, с целью оптимизации проведения диспансерного наблюдения.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пациент получает первичную медико-санитарную помощь: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врач-терапевт (врач-терапевт участковый, врач-терапевт участковый цехового врачебного участка, врач общей практики (семейный врач) (далее - вра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ч-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терапевт);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врачи-специалисты (по отдельным заболеваниям или состояниям (группам заболеваний или состояний);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врач по медицинской профилактике (фельдшер) отделения (кабинета) медицинской профилактики или центра здоровья;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4) фельдшер (акушер) фельдшерско-акушерского пункта, фельдшер фельдшерского здравпункта в случае возложения на них руководителем медицинской организации отдельных функций лечащего врача, в том числе по проведению диспансерного наблюдения, в порядке, 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установленном приказом Министерства здравоохранения и социального развития Российской Федерации от 23 марта 2012 г. № 252н «Об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препараты»</w:t>
      </w:r>
      <w:hyperlink r:id="rId10" w:anchor="22" w:history="1">
        <w:r w:rsidRPr="00A4665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2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фельдшер, акушер пункта).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7. При осуществлении диспансерного наблюдения медицинский работник, уполномоченный руководителем медицинской организации, обеспечивает: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формирование списков лиц, подлежащих диспансерному наблюдению в отчетном году, их поквартальное распределение;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информирование лиц, подлежащих диспансерному наблюдению в текущем году, или их законных представителей о необходимости явки в целях диспансерного наблюдения;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обучение пациентов навыкам самоконтроля показателей состояния здоровья, определённых врачом-терапевтом (фельдшером) или врачо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специалистом, осуществляющим диспансерное наблюдение, и алгоритмам действия в случае развития </w:t>
      </w:r>
      <w:proofErr w:type="spell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жизнеугрожающих</w:t>
      </w:r>
      <w:proofErr w:type="spell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состояний.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8. Наличие медицинских показаний для проведения диспансерного наблюдения, периодичность диспансерных приемов (осмотров, консультаций), длительность диспансерного наблюдения, объем профилактических, диагностических, лечебных и реабилитационных мероприятий определяются медицинским работником, указанным в </w:t>
      </w:r>
      <w:hyperlink r:id="rId11" w:anchor="1005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5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в соответствии с настоящим Порядком, с учетом стандартов медицинской помощи и клинических рекомендаций.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диспансерного наблюдения учитываются рекомендации врачей-специалистов, содержащиеся в медицинской документации пациента, в том числе вынесенные по результатам оказания медицинской помощи в стационарных условиях.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проведении первого в текущем году диспансерного приема (осмотра, консультации) в рамках диспансерного наблюдения организуется проведение профилактического медицинского осмотра</w:t>
      </w:r>
      <w:hyperlink r:id="rId12" w:anchor="33" w:history="1">
        <w:r w:rsidRPr="00A4665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3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лица, находящегося под диспансерным наблюдением.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9. Перечень заболеваний или состояний (групп заболеваний или состояний), при наличии которых устанавливается диспансерное наблюдение врачо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м-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терапевтом, включая длительность и минимальную периодичность диспансерного наблюдения, определены в </w:t>
      </w:r>
      <w:hyperlink r:id="rId13" w:anchor="11000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приложении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к настоящему Порядку.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10. 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случае если пациент нуждается в диспансерном наблюдении врачом-специалистом по отдельным заболеваниям или состояниям (группам заболеваний или состояний) и такой врач-специалист отсутствует в медицинской организации, в которой пациент получает первичную медико-санитарную помощь, врач-терапевт организует консультацию пациента соответствующим врачом-специалистом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11. 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Врач по медицинской профилактике (фельдшер) отделения (кабинета) медицинской профилактики или центра здоровья, а также фельдшер, акушер пункта</w:t>
      </w:r>
      <w:hyperlink r:id="rId14" w:anchor="44" w:history="1">
        <w:r w:rsidRPr="00A4665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4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осуществляют диспансерное наблюдение за лицами, отнесенными по результатам профилактического медицинского осмотра и диспансеризации ко II группе здоровья, имеющими высокий или очень высокий суммарный сердечно-сосудистый риск, за исключением пациентов с уровнем общего холестерина 8 </w:t>
      </w:r>
      <w:proofErr w:type="spell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ммоль</w:t>
      </w:r>
      <w:proofErr w:type="spell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/л и более, которые подлежат диспансерному наблюдению врачом-терапевтом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12. Медицинский работник, указанный в </w:t>
      </w:r>
      <w:hyperlink r:id="rId15" w:anchor="1005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5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при проведении диспансерного наблюдения: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1) устанавливает группу диспансерного наблюдения;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ведет учет лиц, находящихся под диспансерным наблюдением;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информирует о порядке, объеме и периодичности диспансерного наблюдения;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организует и осуществляет проведение диспансерных приемов (осмотров, консультаций), профилактических, диагностических, лечебных и реабилитационных мероприятий;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организует в случае невозможности посещения лицом, подлежащим диспансерному наблюдению, медицинской организации в связи с тяжестью состояния или нарушением двигательных функций проведение диспансерного приема (осмотра, консультации) в амбулаторных условиях, в том числе на дому;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6) организует консультацию пациента врачом-специалистом по отдельным заболеваниям или состояниям (группам заболеваний или состояний) другой медицинской организации, в том числе с применением телемедицинских технологий, и осуществляет диспансерное наблюдение по согласованию и с учетом рекомендаций этого врача-специалиста;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7) осуществляет при необходимости дистанционное наблюдение за пациентами в соответствии с порядком организации и оказания медицинской помощи с применением телемедицинских технологий</w:t>
      </w:r>
      <w:hyperlink r:id="rId16" w:anchor="55" w:history="1">
        <w:r w:rsidRPr="00A4665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5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13. Диспансерный прием (осмотр, консультация) медицинским работником, указанным в </w:t>
      </w:r>
      <w:hyperlink r:id="rId17" w:anchor="1005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5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настоящего Порядка, включает: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1) оценку состояния лица, сбор жалоб и анамнеза, </w:t>
      </w:r>
      <w:proofErr w:type="spell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физикальное</w:t>
      </w:r>
      <w:proofErr w:type="spell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исследование, назначение и оценку лабораторных и инструментальных исследований;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2) установление или уточнение диагноза заболевания (состояния);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3) оценку приверженности лечению и эффективности ранее назначенного лечения, достижения целевых значений показателей состояния здоровья, необходимую коррекцию проводимого лечения, а также повышение мотивации пациента к лечению;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4) проведение краткого профилактического консультирования и разъяснение лицу с высоким риском развития угрожающего жизни заболевания или состояния (группы заболеваний или состояний) или их осложнения, а также лицам, совместно с ним проживающим, правил действий при их развитии и необходимости своевременного вызова скорой медицинской помощи;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5) назначение по медицинским показаниям дополнительных профилактических, диагностических, лечебных и реабилитационных мероприятий, в том числе направление пациента в медицинскую организацию, оказывающую специализированную, в том числе высокотехнологичную, медицинскую помощь, на санаторно-курортное лечение, в отделение (кабинет) медицинской профилактики или центр здоровья для проведения углубленного профилактического консультирования (индивидуального или группового).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14. Сведения о диспансерном наблюдении вносятся в медицинскую документацию пациента, а также в учетную форму № 030/у «Контрольная карта диспансерного наблюдения»</w:t>
      </w:r>
      <w:hyperlink r:id="rId18" w:anchor="66" w:history="1">
        <w:r w:rsidRPr="00A4665C">
          <w:rPr>
            <w:rFonts w:ascii="Arial" w:eastAsia="Times New Roman" w:hAnsi="Arial" w:cs="Arial"/>
            <w:color w:val="808080"/>
            <w:sz w:val="15"/>
            <w:szCs w:val="15"/>
            <w:u w:val="single"/>
            <w:bdr w:val="none" w:sz="0" w:space="0" w:color="auto" w:frame="1"/>
            <w:vertAlign w:val="superscript"/>
            <w:lang w:eastAsia="ru-RU"/>
          </w:rPr>
          <w:t>6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(далее - контрольная карта), за исключением случаев, когда законодательством Российской Федерации предусмотрено заполнение специальных карт диспансерного наблюдения за лицами с отдельными заболеваниями или состояниями (группами заболеваний или состояний).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15. Медицинский работник, указанный в </w:t>
      </w:r>
      <w:hyperlink r:id="rId19" w:anchor="1006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пункте 6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настоящего Порядка, проводит анализ результатов проведения диспансерного наблюдения на основании сведений, содержащихся в контрольных картах, при этом врач-терапевт, фельдшер, акушер 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пункта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том числе ведет учет лиц, находящихся под диспансерным наблюдением у врачей-специалистов, и формирует сводный план проведения диспансерного наблюдения для каждого лица с учетом всех заболеваний или состояний (групп заболеваний или состояний), по 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поводу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которых оно нуждается в диспансерном наблюдении.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Приложение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к </w:t>
      </w:r>
      <w:hyperlink r:id="rId20" w:anchor="1000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Порядку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проведения диспансерного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наблюдения за взрослыми,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утвержденному </w:t>
      </w:r>
      <w:hyperlink r:id="rId21" w:anchor="0" w:history="1">
        <w:r w:rsidRPr="00A4665C">
          <w:rPr>
            <w:rFonts w:ascii="Arial" w:eastAsia="Times New Roman" w:hAnsi="Arial" w:cs="Arial"/>
            <w:color w:val="808080"/>
            <w:sz w:val="21"/>
            <w:szCs w:val="21"/>
            <w:u w:val="single"/>
            <w:bdr w:val="none" w:sz="0" w:space="0" w:color="auto" w:frame="1"/>
            <w:lang w:eastAsia="ru-RU"/>
          </w:rPr>
          <w:t>приказом</w:t>
        </w:r>
      </w:hyperlink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Министерства здравоохранения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Российской Федерации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от 29 марта 2019 г. № 173н</w:t>
      </w:r>
    </w:p>
    <w:p w:rsidR="00A4665C" w:rsidRPr="00A4665C" w:rsidRDefault="00A4665C" w:rsidP="00A4665C">
      <w:pPr>
        <w:spacing w:after="255" w:line="270" w:lineRule="atLeast"/>
        <w:outlineLvl w:val="2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 w:rsidRPr="00A466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Перечень</w:t>
      </w:r>
      <w:r w:rsidRPr="00A4665C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br/>
        <w:t>заболеваний или состояний (групп заболеваний или состояний), при наличии которых устанавливается диспансерное наблюдение за взрослым населением врачом-терапевтом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"/>
        <w:gridCol w:w="1231"/>
        <w:gridCol w:w="1592"/>
        <w:gridCol w:w="1234"/>
        <w:gridCol w:w="2158"/>
        <w:gridCol w:w="1108"/>
        <w:gridCol w:w="1800"/>
      </w:tblGrid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1" w:name="_GoBack"/>
            <w:r w:rsidRPr="00A4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4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4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Код по Международной классификации болезней 10-го пересмотра</w:t>
            </w:r>
            <w:hyperlink r:id="rId22" w:anchor="77" w:history="1">
              <w:r w:rsidRPr="00A4665C">
                <w:rPr>
                  <w:rFonts w:ascii="Times New Roman" w:eastAsia="Times New Roman" w:hAnsi="Times New Roman" w:cs="Times New Roman"/>
                  <w:b/>
                  <w:bCs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7</w:t>
              </w:r>
            </w:hyperlink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Заболевание или состояние (группа заболеваний или состояний), при наличии которых устанавливается диспансерное наблюдение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Минимальная периодичность диспансерных приемов (осмотров, консультаций)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Контролируемые показатели состояния здоровья в рамках проведения диспансерного наблюдения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Длительность диспансерного наблюдения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Примечания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I20.1, I20.8, I20.9, I25.0, I25.1, I25.2, I25.5, I25.6, I25.8, I25.9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Стабильная ишемическая болезнь сердца (за исключением следующих заболеваний или состояний, по поводу которых осуществляется диспансерное наблюдение врачом-кардиологом: стенокардия III-IV ФК в трудоспособном возрасте; перенесенный </w:t>
            </w: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инфаркт миокарда и его осложнений в течение 12 месяцев после оказания медицинской помощи в стационарных условиях медицинских организаций; период после оказания высокотехнологичных методов лечения, включая кардиохирургические вмешательства в течение 12 месяцев после оказания медицинской помощи в стационарных условиях медицинских организаций)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 реже 2 раз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Артериальное давление</w:t>
            </w:r>
            <w:hyperlink r:id="rId23" w:anchor="88" w:history="1">
              <w:r w:rsidRPr="00A4665C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8</w:t>
              </w:r>
            </w:hyperlink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Частота сердечных сокращений</w:t>
            </w:r>
            <w:hyperlink r:id="rId24" w:anchor="99" w:history="1">
              <w:r w:rsidRPr="00A4665C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9</w:t>
              </w:r>
            </w:hyperlink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Холестерин липопротеидов низкой плотности</w:t>
            </w:r>
            <w:hyperlink r:id="rId25" w:anchor="100" w:history="1">
              <w:r w:rsidRPr="00A4665C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10</w:t>
              </w:r>
            </w:hyperlink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 кардиолога по медицинским показаниям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I10, I11, I12, I13, I15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Артериальная гипертония 1-3 степени, за исключением резистентной артериальной гипертонии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(согласно клиническим рекомендациям) ХС-ЛПНП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 медицинским показаниям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I50.0, I50.1, I50.9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Хроническая сердечная недостаточность I-III ФК по NYHA, но не выше стадии 2а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(согласно клиническим рекомендациям) ЧСС (согласно клиническим рекомендациям) Масса тела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 медицинским показаниям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I48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Фибрилляция и (или) трепетание предсердий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2 раз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ритма (согласно клиническим рекомендациям) Контроль ЧСС (согласно клиническим </w:t>
            </w: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рекомендациям) Международное нормализованное отношение</w:t>
            </w:r>
            <w:hyperlink r:id="rId26" w:anchor="111" w:history="1">
              <w:r w:rsidRPr="00A4665C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11</w:t>
              </w:r>
            </w:hyperlink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(2-3 ед.), если необходимо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 медицинским показаниям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I47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Предсердная и желудочковая экстрасистолия,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наджелудочковые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желудочковые тахикардии на фоне эффективной профилактической антиаритмической терапии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Частота желудочковой экстрасистолии и устойчивых эпизодов желудочковой тахикардии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 медицинским показаниям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I65.2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Стеноз внутренней сонной артерии от 40 до 70%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ХС-ЛПНП (согласно клиническим рекомендациям) степень стеноза (</w:t>
            </w: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</w:t>
            </w: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сердечно-сосудистого</w:t>
            </w:r>
            <w:proofErr w:type="gram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хирурга, врача по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рентгенэндоваскулярным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диагностике и лечению (при стенозе внутренней сонной артерии 70% и более)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R73.0, R73.9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Предиабет</w:t>
            </w:r>
            <w:proofErr w:type="spellEnd"/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врача-эндокринолога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E11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Сахарный диабет 2 типа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клиническими рекомендациями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 (согласно клиническим рекомендациям) ХС-ЛПНП (согласно клиническим рекомендациям)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Гликированный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гемоглобин, глюкоза плазмы натощак и через 2 часа после нагрузки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клиническими рекомендациями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I69.0, I69.1, I69.2, I69.3, I69.4, I67.8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Последствия перенесенных острых нарушений мозгового кровообращения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- раз в 3 месяца, затем не реже 1 раза в 6 месяцев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(согласно клиническим рекомендациям) ХС-ЛПНП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врача-невролога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E78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Гиперхолестеринемия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(при уровне общего холестерина более 8,0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ммоль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/л)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ХС-ЛПНП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врача-кардиолога по медицинским показаниям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К20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Эзофагит (эозинофильный, химический, лекарственный)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6 месяцев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рецидивов эрозивного процесса по данным эзофагогастродуоденоскопии</w:t>
            </w:r>
            <w:hyperlink r:id="rId27" w:anchor="122" w:history="1">
              <w:r w:rsidRPr="00A4665C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12</w:t>
              </w:r>
            </w:hyperlink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3 лет с момента последнего обострения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 медицинским показаниям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K21.0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 с эзофагитом (без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цилиндроклеточной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метаплазии - без пищевода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Баррета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6 месяцев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рецидивов эрозивного процесса по данным ЭГДС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лет с момента последнего обострения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 медицинским показаниям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К21.0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Гастроэзофагеальный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рефлюкс с эзофагитом и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цилиндроклеточной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метаплазией - пищевод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Барретта</w:t>
            </w:r>
            <w:proofErr w:type="spellEnd"/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6 месяцев или по рекомендации врача-гастроэнтеролога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прогрессирования эндоскопических и морфологических изменений по данным ЭГДС с биопсией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1 раз в год Прием (осмотр, консультация) врача-онколога по медицинским показаниям Прием (осмотр, консультация) врача-хирурга по медицинским </w:t>
            </w: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показаниям</w:t>
            </w:r>
            <w:proofErr w:type="gramEnd"/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К25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желудка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6 месяцев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уменьшение частоты рецидивов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1 раз в год, прием (осмотр, консультация) врача-онколога по медицинским показаниям</w:t>
            </w:r>
            <w:proofErr w:type="gramEnd"/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К26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Язвенная болезнь двенадцатиперстной кишки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уменьшение частоты рецидивов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5 лет с момента последнего обострения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по медицинским показаниям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К29.4 К29.5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Хронический атрофический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фундальный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мультифокальный гастрит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Стабилизация морфологических изменений по данным ЭГДС с биопсией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всей жизни с момента установления диагноза (или до выявления опухоли)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1 раз в год, прием (осмотр, консультация) врача-онколога по медицинским показаниям</w:t>
            </w:r>
            <w:proofErr w:type="gramEnd"/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К31.7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Полипы (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полипоз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желудка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прогрессирования и морфологических изменений по данным ЭГДС с биопсией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всей жизни с момента установления диагноза (или до выявления малигнизации)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врача-гастроэнтеролога 1 раз в год, прием (осмотр, консультация) врача-онколога по медицинским показаниям</w:t>
            </w:r>
            <w:proofErr w:type="gramEnd"/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86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Хронический панкреатит с внешнесекреторной недостаточностью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прогрессирования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белково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-энергетической недостаточности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врача-гастроэнтеролога 1 раз в год, прием (осмотр, консультация) врача-хирурга по </w:t>
            </w: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медицинским показаниям</w:t>
            </w:r>
            <w:proofErr w:type="gramEnd"/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J41.0 J41.1 J41.8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Рецидивирующий и хронический бронхиты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уменьшение частоты обострений Сатурация кислорода в крови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(по медицинским показаниям)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44.0 J 44.8 J 44.9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Хроническая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обструктивная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болезнь легких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уменьшение частоты обострений Функция внешнего дыхания</w:t>
            </w:r>
            <w:hyperlink r:id="rId28" w:anchor="133" w:history="1">
              <w:r w:rsidRPr="00A4665C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13</w:t>
              </w:r>
            </w:hyperlink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(согласно клиническим рекомендациям) Сатурация кислорода в крови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</w:t>
            </w: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пульмонолога (по медицинским показаниям)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47.0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Бронхоэктатическая болезнь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или уменьшение частоты обострений ФВД (согласно клиническим рекомендациям) Сатурация кислорода в крови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 (по медицинским показаниям)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45.0 J 45.1 J 45.8 J 45.9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Бронхиальная астма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1-3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Достижение полного или частичного контроля бронхиальной астмы ФВД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врача-пульмонолога, врача-аллерголога (по медицинским показаниям)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 12 J 13 J 14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после перенесенной пневмонии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Сатурация кислорода в крови согласно клиническим рекомендациям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рекомендации врача-пульмонолога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J84.1 B86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Интерстициальные заболевания легких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Отсутствие или уменьшение частоты обострений ФВД (согласно </w:t>
            </w: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клиническим рекомендациям) Сатурация кислорода в крови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рекомендации врача-пульмонолога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25.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N18.1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перенесшие острую почечную недостаточность, в стабильном состоянии, с хронической почечной недостаточностью 1 стадии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(согласно клиническим рекомендациям) ХС-ЛПНП (согласно клиническим рекомендациям) Скорость клубочковой фильтрации</w:t>
            </w:r>
            <w:hyperlink r:id="rId29" w:anchor="144" w:history="1">
              <w:r w:rsidRPr="00A4665C">
                <w:rPr>
                  <w:rFonts w:ascii="Times New Roman" w:eastAsia="Times New Roman" w:hAnsi="Times New Roman" w:cs="Times New Roman"/>
                  <w:color w:val="808080"/>
                  <w:sz w:val="20"/>
                  <w:szCs w:val="20"/>
                  <w:u w:val="single"/>
                  <w:bdr w:val="none" w:sz="0" w:space="0" w:color="auto" w:frame="1"/>
                  <w:vertAlign w:val="superscript"/>
                  <w:lang w:eastAsia="ru-RU"/>
                </w:rPr>
                <w:t>14</w:t>
              </w:r>
            </w:hyperlink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рекомендации врача-нефролога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1 раз в год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N18.1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страдающие хронической болезнью почек (независимо от ее причины и стадии), в стабильном состоянии с хронической почечной недостаточностью 1 стадии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(согласно клиническим рекомендациям) СКФ (согласно клиническим рекомендациям) ХС-ЛПНП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1 раз в год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N18.9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Пациенты, относящиеся к группам риска поражения почек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реже 1 раза в год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 (согласно клиническим рекомендациям) СКФ (согласно клиническим рекомендациям)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рекомендации врача-нефролога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(осмотр, консультация) врача-нефролога 1 раз в год</w:t>
            </w:r>
          </w:p>
        </w:tc>
      </w:tr>
      <w:tr w:rsidR="00A4665C" w:rsidRPr="00A4665C" w:rsidTr="00A4665C"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M81.5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Остеопороз первичный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год или по рекомендации врача - акушера-гинеколога, врача-эндокринолога, врач</w:t>
            </w: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а-</w:t>
            </w:r>
            <w:proofErr w:type="gram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ревматолога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Пожизненно</w:t>
            </w:r>
          </w:p>
        </w:tc>
        <w:tc>
          <w:tcPr>
            <w:tcW w:w="0" w:type="auto"/>
            <w:hideMark/>
          </w:tcPr>
          <w:p w:rsidR="00A4665C" w:rsidRPr="00A4665C" w:rsidRDefault="00A4665C" w:rsidP="00A4665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Прием (осмотр, консультация) врача - акушера-гинеколога (для женщин с остеопорозом, </w:t>
            </w:r>
            <w:proofErr w:type="spellStart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развившимся</w:t>
            </w:r>
            <w:proofErr w:type="spellEnd"/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течение 3 лет после наступления менопаузы), врача - эндокринолога, </w:t>
            </w:r>
            <w:r w:rsidRPr="00A466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врача-ревматолога по медицинским показаниям</w:t>
            </w:r>
            <w:proofErr w:type="gramEnd"/>
          </w:p>
        </w:tc>
      </w:tr>
    </w:tbl>
    <w:bookmarkEnd w:id="1"/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------------------------------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Часть 5 статьи 46 Федерального закона от 21 ноября 2011 г. № 323-ФЗ «Об основах охраны здоровья граждан в Российской Федерации» (Собрание законодательства Российской Федерации, 2011, № 48, ст. 6724; 2013, № 48, ст. 6165; 2016, № 27, ст. 4219).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2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Зарегистрирован Министерством юстиции Российской Федерации 28 апреля 2012 г., регистрационный № 23971, с изменениями, внесенными приказом Министерства здравоохранения Российской Федерации от 31 октября 2017 г. № 882н (зарегистрирован Министерством юстиции Российской Федерации 9 января 2018 г., регистрационный № 49561).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3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Приказ Министерства здравоохранения Российской Федерации от 6 декабря 2012 г. № 1011н «Об утверждении Порядка проведения профилактического медицинского осмотра» (зарегистрирован Министерством юстиции Российской Федерации 29 декабря 2012 г., регистрационный № 26511);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4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ля фельдшерских здравпунктов и фельдшерско-акушерских пунктов, расположенных в удаленной или труднодоступной местности.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5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Утвержден приказом Министерства здравоохранения Российской Федерации от 30 ноября 2017 г. № 965н «Об утверждении порядка организации и оказания медицинской помощи с применением телемедицинских технологий» (зарегистрирован Министерством юстиции Российской Федерации 9 января 2018 г., регистрационный № 49577).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6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Утверждена приказом Министерства здравоохранения Российского Федерации от 15 декабря 2014 г. № 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заполнению» (зарегистрирован Министерством юстиции Российской Федерации 20 февраля 2015 г., регистрационный № 36160), с изменениями, внесенными приказом Министерства здравоохранения Российской Федерации от 9 января 2018 г. № 2н (зарегистрирован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Министерством юстиции Российской Федерации 4 апреля 2018 г., регистрационный № 50614).</w:t>
      </w:r>
      <w:proofErr w:type="gramEnd"/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7</w:t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Далее-МКБ 10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8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 - АД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9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 - ЧСС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10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 - ХС-ЛПНП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11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алее- MHO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12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 - ЭГДС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13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 - ФВД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15"/>
          <w:szCs w:val="15"/>
          <w:vertAlign w:val="superscript"/>
          <w:lang w:eastAsia="ru-RU"/>
        </w:rPr>
        <w:t>14</w:t>
      </w:r>
      <w:proofErr w:type="gramStart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Д</w:t>
      </w:r>
      <w:proofErr w:type="gramEnd"/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алее - СКФ</w:t>
      </w:r>
    </w:p>
    <w:p w:rsidR="00A4665C" w:rsidRPr="00A4665C" w:rsidRDefault="00A4665C" w:rsidP="00A4665C">
      <w:pPr>
        <w:spacing w:after="255" w:line="300" w:lineRule="atLeast"/>
        <w:outlineLvl w:val="1"/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</w:pPr>
      <w:bookmarkStart w:id="2" w:name="review"/>
      <w:bookmarkEnd w:id="2"/>
      <w:r w:rsidRPr="00A4665C">
        <w:rPr>
          <w:rFonts w:ascii="Arial" w:eastAsia="Times New Roman" w:hAnsi="Arial" w:cs="Arial"/>
          <w:b/>
          <w:bCs/>
          <w:color w:val="4D4D4D"/>
          <w:sz w:val="27"/>
          <w:szCs w:val="27"/>
          <w:lang w:eastAsia="ru-RU"/>
        </w:rPr>
        <w:t>Обзор документа</w:t>
      </w:r>
    </w:p>
    <w:p w:rsidR="00A4665C" w:rsidRPr="00A4665C" w:rsidRDefault="00A4665C" w:rsidP="00A4665C">
      <w:pPr>
        <w:spacing w:before="255" w:after="25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4665C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.75pt" o:hrstd="t" o:hrnoshade="t" o:hr="t" fillcolor="black" stroked="f"/>
        </w:pic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Минздрав определил новый порядок диспансерного наблюдения за взрослыми, который предусматривает: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сроки взятия под наблюдение;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дополнительные обязанности главврача по организации мероприятий;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обновленный перечень заболеваний или состояний, при наличии которых устанавливается наблюдение.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Сведения о диспансерном наблюдении должны быть внесены в медицинскую документацию пациента, а также в контрольную карту.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Непосредственное диспансерное наблюдение проводят врачи-терапевты (врачи общей практики), врачи-специалисты, врачи по медицинской профилактике отделения медицинской профилактики или центра здоровья и фельдшеры (акушеры).</w:t>
      </w:r>
    </w:p>
    <w:p w:rsidR="00A4665C" w:rsidRPr="00A4665C" w:rsidRDefault="00A4665C" w:rsidP="00A4665C">
      <w:pPr>
        <w:spacing w:after="255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Прежний порядок утратил силу.</w:t>
      </w:r>
    </w:p>
    <w:p w:rsidR="00867557" w:rsidRDefault="00A4665C" w:rsidP="00A4665C"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  <w:r w:rsidRPr="00A4665C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sectPr w:rsidR="00867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80D"/>
    <w:rsid w:val="006706C0"/>
    <w:rsid w:val="007E680D"/>
    <w:rsid w:val="00867557"/>
    <w:rsid w:val="00A4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7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47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.ru/products/ipo/prime/doc/72132764/?prime" TargetMode="External"/><Relationship Id="rId13" Type="http://schemas.openxmlformats.org/officeDocument/2006/relationships/hyperlink" Target="http://www.garant.ru/products/ipo/prime/doc/72132764/?prime" TargetMode="External"/><Relationship Id="rId18" Type="http://schemas.openxmlformats.org/officeDocument/2006/relationships/hyperlink" Target="http://www.garant.ru/products/ipo/prime/doc/72132764/?prime" TargetMode="External"/><Relationship Id="rId26" Type="http://schemas.openxmlformats.org/officeDocument/2006/relationships/hyperlink" Target="http://www.garant.ru/products/ipo/prime/doc/72132764/?prime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garant.ru/products/ipo/prime/doc/72132764/?prime" TargetMode="External"/><Relationship Id="rId7" Type="http://schemas.openxmlformats.org/officeDocument/2006/relationships/hyperlink" Target="http://www.garant.ru/products/ipo/prime/doc/72132764/?prime" TargetMode="External"/><Relationship Id="rId12" Type="http://schemas.openxmlformats.org/officeDocument/2006/relationships/hyperlink" Target="http://www.garant.ru/products/ipo/prime/doc/72132764/?prime" TargetMode="External"/><Relationship Id="rId17" Type="http://schemas.openxmlformats.org/officeDocument/2006/relationships/hyperlink" Target="http://www.garant.ru/products/ipo/prime/doc/72132764/?prime" TargetMode="External"/><Relationship Id="rId25" Type="http://schemas.openxmlformats.org/officeDocument/2006/relationships/hyperlink" Target="http://www.garant.ru/products/ipo/prime/doc/72132764/?prim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www.garant.ru/products/ipo/prime/doc/72132764/?prime" TargetMode="External"/><Relationship Id="rId20" Type="http://schemas.openxmlformats.org/officeDocument/2006/relationships/hyperlink" Target="http://www.garant.ru/products/ipo/prime/doc/72132764/?prime" TargetMode="External"/><Relationship Id="rId29" Type="http://schemas.openxmlformats.org/officeDocument/2006/relationships/hyperlink" Target="http://www.garant.ru/products/ipo/prime/doc/72132764/?prime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2132764/?prime" TargetMode="External"/><Relationship Id="rId11" Type="http://schemas.openxmlformats.org/officeDocument/2006/relationships/hyperlink" Target="http://www.garant.ru/products/ipo/prime/doc/72132764/?prime" TargetMode="External"/><Relationship Id="rId24" Type="http://schemas.openxmlformats.org/officeDocument/2006/relationships/hyperlink" Target="http://www.garant.ru/products/ipo/prime/doc/72132764/?prime" TargetMode="External"/><Relationship Id="rId5" Type="http://schemas.openxmlformats.org/officeDocument/2006/relationships/hyperlink" Target="http://www.garant.ru/products/ipo/prime/doc/72132764/?prime" TargetMode="External"/><Relationship Id="rId15" Type="http://schemas.openxmlformats.org/officeDocument/2006/relationships/hyperlink" Target="http://www.garant.ru/products/ipo/prime/doc/72132764/?prime" TargetMode="External"/><Relationship Id="rId23" Type="http://schemas.openxmlformats.org/officeDocument/2006/relationships/hyperlink" Target="http://www.garant.ru/products/ipo/prime/doc/72132764/?prime" TargetMode="External"/><Relationship Id="rId28" Type="http://schemas.openxmlformats.org/officeDocument/2006/relationships/hyperlink" Target="http://www.garant.ru/products/ipo/prime/doc/72132764/?prime" TargetMode="External"/><Relationship Id="rId10" Type="http://schemas.openxmlformats.org/officeDocument/2006/relationships/hyperlink" Target="http://www.garant.ru/products/ipo/prime/doc/72132764/?prime" TargetMode="External"/><Relationship Id="rId19" Type="http://schemas.openxmlformats.org/officeDocument/2006/relationships/hyperlink" Target="http://www.garant.ru/products/ipo/prime/doc/72132764/?prime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2132764/?prime" TargetMode="External"/><Relationship Id="rId14" Type="http://schemas.openxmlformats.org/officeDocument/2006/relationships/hyperlink" Target="http://www.garant.ru/products/ipo/prime/doc/72132764/?prime" TargetMode="External"/><Relationship Id="rId22" Type="http://schemas.openxmlformats.org/officeDocument/2006/relationships/hyperlink" Target="http://www.garant.ru/products/ipo/prime/doc/72132764/?prime" TargetMode="External"/><Relationship Id="rId27" Type="http://schemas.openxmlformats.org/officeDocument/2006/relationships/hyperlink" Target="http://www.garant.ru/products/ipo/prime/doc/72132764/?prime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4049</Words>
  <Characters>23083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27078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IRINA</cp:lastModifiedBy>
  <cp:revision>3</cp:revision>
  <dcterms:created xsi:type="dcterms:W3CDTF">2019-04-29T14:07:00Z</dcterms:created>
  <dcterms:modified xsi:type="dcterms:W3CDTF">2019-04-29T14:29:00Z</dcterms:modified>
</cp:coreProperties>
</file>